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olor w:val="auto"/>
          <w:sz w:val="36"/>
          <w:szCs w:val="36"/>
          <w:highlight w:val="none"/>
          <w:lang w:val="en-US" w:eastAsia="zh-CN"/>
        </w:rPr>
      </w:pPr>
      <w:r>
        <w:rPr>
          <w:rFonts w:hint="eastAsia" w:ascii="黑体" w:hAnsi="黑体" w:eastAsia="黑体"/>
          <w:color w:val="auto"/>
          <w:sz w:val="36"/>
          <w:szCs w:val="36"/>
          <w:highlight w:val="none"/>
          <w:lang w:val="en-US" w:eastAsia="zh-CN"/>
        </w:rPr>
        <w:t>杨柳副</w:t>
      </w:r>
      <w:r>
        <w:rPr>
          <w:rFonts w:hint="eastAsia" w:ascii="黑体" w:hAnsi="黑体" w:eastAsia="黑体"/>
          <w:color w:val="auto"/>
          <w:sz w:val="36"/>
          <w:szCs w:val="36"/>
          <w:highlight w:val="none"/>
          <w:lang w:eastAsia="zh-CN"/>
        </w:rPr>
        <w:t>井、</w:t>
      </w:r>
      <w:r>
        <w:rPr>
          <w:rFonts w:hint="eastAsia" w:ascii="黑体" w:hAnsi="黑体" w:eastAsia="黑体"/>
          <w:color w:val="auto"/>
          <w:sz w:val="36"/>
          <w:szCs w:val="36"/>
          <w:highlight w:val="none"/>
          <w:lang w:val="en-US" w:eastAsia="zh-CN"/>
        </w:rPr>
        <w:t>袁店一井主、副井主</w:t>
      </w:r>
      <w:r>
        <w:rPr>
          <w:rFonts w:hint="eastAsia" w:ascii="黑体" w:hAnsi="黑体" w:eastAsia="黑体"/>
          <w:color w:val="auto"/>
          <w:sz w:val="36"/>
          <w:szCs w:val="36"/>
          <w:highlight w:val="none"/>
        </w:rPr>
        <w:t>提升钢丝绳</w:t>
      </w:r>
      <w:r>
        <w:rPr>
          <w:rFonts w:hint="eastAsia" w:ascii="黑体" w:hAnsi="黑体" w:eastAsia="黑体"/>
          <w:color w:val="auto"/>
          <w:sz w:val="36"/>
          <w:szCs w:val="36"/>
          <w:highlight w:val="none"/>
          <w:lang w:val="en-US" w:eastAsia="zh-CN"/>
        </w:rPr>
        <w:t>招标</w:t>
      </w:r>
    </w:p>
    <w:p>
      <w:pPr>
        <w:jc w:val="center"/>
        <w:rPr>
          <w:rFonts w:hint="eastAsia" w:ascii="黑体" w:hAnsi="黑体" w:eastAsia="黑体"/>
          <w:color w:val="auto"/>
          <w:sz w:val="36"/>
          <w:szCs w:val="36"/>
          <w:highlight w:val="none"/>
        </w:rPr>
      </w:pPr>
      <w:r>
        <w:rPr>
          <w:rFonts w:hint="eastAsia" w:ascii="黑体" w:hAnsi="黑体" w:eastAsia="黑体"/>
          <w:color w:val="auto"/>
          <w:sz w:val="36"/>
          <w:szCs w:val="36"/>
          <w:highlight w:val="none"/>
        </w:rPr>
        <w:t>技术规格书</w:t>
      </w:r>
    </w:p>
    <w:p>
      <w:pPr>
        <w:jc w:val="center"/>
        <w:rPr>
          <w:rFonts w:hint="eastAsia" w:ascii="黑体" w:hAnsi="黑体" w:eastAsia="黑体"/>
          <w:color w:val="auto"/>
          <w:sz w:val="36"/>
          <w:szCs w:val="36"/>
          <w:highlight w:val="none"/>
        </w:r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Times New Roman"/>
          <w:b w:val="0"/>
          <w:bCs/>
          <w:color w:val="auto"/>
          <w:sz w:val="32"/>
          <w:szCs w:val="32"/>
          <w:highlight w:val="none"/>
          <w:lang w:val="en-US" w:eastAsia="zh-CN"/>
        </w:rPr>
      </w:pPr>
      <w:r>
        <w:rPr>
          <w:rFonts w:hint="eastAsia" w:ascii="黑体" w:hAnsi="黑体" w:eastAsia="黑体" w:cs="Times New Roman"/>
          <w:b w:val="0"/>
          <w:bCs/>
          <w:color w:val="auto"/>
          <w:sz w:val="32"/>
          <w:szCs w:val="32"/>
          <w:highlight w:val="none"/>
          <w:lang w:val="en-US" w:eastAsia="zh-CN"/>
        </w:rPr>
        <w:t>一、项目概况及招标范围</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rPr>
        <w:t>1.项目概况：镀锌三角股钢丝绳</w:t>
      </w:r>
      <w:r>
        <w:rPr>
          <w:rFonts w:hint="eastAsia" w:ascii="仿宋_GB2312" w:hAnsi="宋体"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淮北矿业</w:t>
      </w:r>
      <w:r>
        <w:rPr>
          <w:rFonts w:hint="eastAsia" w:ascii="仿宋_GB2312" w:hAnsi="仿宋_GB2312" w:eastAsia="仿宋_GB2312" w:cs="仿宋_GB2312"/>
          <w:color w:val="auto"/>
          <w:sz w:val="32"/>
          <w:szCs w:val="32"/>
          <w:highlight w:val="none"/>
          <w:lang w:val="en-US" w:eastAsia="zh-CN"/>
        </w:rPr>
        <w:t>股份有限公司</w:t>
      </w:r>
      <w:r>
        <w:rPr>
          <w:rFonts w:hint="eastAsia" w:ascii="仿宋_GB2312" w:hAnsi="宋体" w:eastAsia="仿宋_GB2312" w:cs="仿宋_GB2312"/>
          <w:color w:val="auto"/>
          <w:sz w:val="32"/>
          <w:szCs w:val="32"/>
          <w:highlight w:val="none"/>
          <w:lang w:val="en-US" w:eastAsia="zh-CN"/>
        </w:rPr>
        <w:t>杨柳</w:t>
      </w:r>
      <w:r>
        <w:rPr>
          <w:rFonts w:hint="eastAsia" w:ascii="仿宋_GB2312" w:hAnsi="宋体" w:eastAsia="仿宋_GB2312" w:cs="仿宋_GB2312"/>
          <w:color w:val="auto"/>
          <w:sz w:val="32"/>
          <w:szCs w:val="32"/>
          <w:highlight w:val="none"/>
        </w:rPr>
        <w:t>煤矿</w:t>
      </w:r>
      <w:r>
        <w:rPr>
          <w:rFonts w:hint="eastAsia" w:ascii="仿宋_GB2312" w:hAnsi="宋体" w:eastAsia="仿宋_GB2312" w:cs="仿宋_GB2312"/>
          <w:color w:val="auto"/>
          <w:sz w:val="32"/>
          <w:szCs w:val="32"/>
          <w:highlight w:val="none"/>
          <w:lang w:val="en-US" w:eastAsia="zh-CN"/>
        </w:rPr>
        <w:t>、袁店一井煤矿</w:t>
      </w:r>
      <w:r>
        <w:rPr>
          <w:rFonts w:hint="eastAsia" w:ascii="仿宋_GB2312" w:hAnsi="宋体" w:eastAsia="仿宋_GB2312" w:cs="仿宋_GB2312"/>
          <w:color w:val="auto"/>
          <w:sz w:val="32"/>
          <w:szCs w:val="32"/>
          <w:highlight w:val="none"/>
        </w:rPr>
        <w:t>提升</w:t>
      </w:r>
      <w:r>
        <w:rPr>
          <w:rFonts w:hint="eastAsia" w:ascii="仿宋_GB2312" w:hAnsi="宋体" w:eastAsia="仿宋_GB2312" w:cs="仿宋_GB2312"/>
          <w:color w:val="auto"/>
          <w:sz w:val="32"/>
          <w:szCs w:val="32"/>
          <w:highlight w:val="none"/>
          <w:lang w:val="en-US" w:eastAsia="zh-CN"/>
        </w:rPr>
        <w:t>系统</w:t>
      </w:r>
      <w:r>
        <w:rPr>
          <w:rFonts w:hint="eastAsia" w:ascii="仿宋_GB2312" w:hAnsi="宋体" w:eastAsia="仿宋_GB2312" w:cs="仿宋_GB2312"/>
          <w:color w:val="auto"/>
          <w:sz w:val="32"/>
          <w:szCs w:val="32"/>
          <w:highlight w:val="none"/>
        </w:rPr>
        <w:t>使用，提升类型为多绳摩擦式</w:t>
      </w:r>
      <w:r>
        <w:rPr>
          <w:rFonts w:hint="eastAsia" w:ascii="仿宋_GB2312" w:hAnsi="宋体" w:eastAsia="仿宋_GB2312" w:cs="仿宋_GB2312"/>
          <w:color w:val="auto"/>
          <w:sz w:val="32"/>
          <w:szCs w:val="32"/>
          <w:highlight w:val="none"/>
          <w:lang w:val="en-US" w:eastAsia="zh-CN"/>
        </w:rPr>
        <w:t>提升机</w:t>
      </w:r>
      <w:r>
        <w:rPr>
          <w:rFonts w:hint="eastAsia" w:ascii="仿宋_GB2312" w:hAnsi="宋体" w:eastAsia="仿宋_GB2312" w:cs="仿宋_GB2312"/>
          <w:color w:val="auto"/>
          <w:sz w:val="32"/>
          <w:szCs w:val="32"/>
          <w:highlight w:val="none"/>
        </w:rPr>
        <w:t>。</w:t>
      </w:r>
    </w:p>
    <w:p>
      <w:pPr>
        <w:spacing w:line="56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宋体" w:eastAsia="仿宋_GB2312" w:cs="仿宋_GB2312"/>
          <w:color w:val="auto"/>
          <w:sz w:val="32"/>
          <w:szCs w:val="32"/>
          <w:highlight w:val="none"/>
        </w:rPr>
        <w:t>2.招标范围：</w:t>
      </w:r>
      <w:r>
        <w:rPr>
          <w:rFonts w:hint="eastAsia" w:ascii="仿宋_GB2312" w:hAnsi="仿宋_GB2312" w:eastAsia="仿宋_GB2312" w:cs="仿宋_GB2312"/>
          <w:color w:val="auto"/>
          <w:sz w:val="32"/>
          <w:szCs w:val="32"/>
          <w:highlight w:val="none"/>
          <w:lang w:val="en-US" w:eastAsia="zh-CN"/>
        </w:rPr>
        <w:t>12根Φ38.0mm镀锌三角股钢丝绳,共计65205.6kg。</w:t>
      </w:r>
    </w:p>
    <w:p>
      <w:pPr>
        <w:spacing w:line="56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详情见附表:</w:t>
      </w:r>
    </w:p>
    <w:tbl>
      <w:tblPr>
        <w:tblStyle w:val="9"/>
        <w:tblW w:w="8987" w:type="dxa"/>
        <w:tblInd w:w="-3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5"/>
        <w:gridCol w:w="2833"/>
        <w:gridCol w:w="4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Pr>
          <w:p>
            <w:pPr>
              <w:spacing w:line="560" w:lineRule="exact"/>
              <w:jc w:val="center"/>
              <w:rPr>
                <w:rFonts w:hint="eastAsia" w:ascii="仿宋_GB2312" w:hAnsi="宋体" w:eastAsia="仿宋_GB2312" w:cs="仿宋_GB2312"/>
                <w:color w:val="auto"/>
                <w:sz w:val="28"/>
                <w:szCs w:val="28"/>
                <w:highlight w:val="none"/>
                <w:vertAlign w:val="baseline"/>
                <w:lang w:val="en-US" w:eastAsia="zh-CN"/>
              </w:rPr>
            </w:pPr>
            <w:r>
              <w:rPr>
                <w:rFonts w:hint="eastAsia" w:ascii="仿宋_GB2312" w:hAnsi="宋体" w:eastAsia="仿宋_GB2312" w:cs="仿宋_GB2312"/>
                <w:color w:val="auto"/>
                <w:sz w:val="28"/>
                <w:szCs w:val="28"/>
                <w:highlight w:val="none"/>
                <w:vertAlign w:val="baseline"/>
                <w:lang w:val="en-US" w:eastAsia="zh-CN"/>
              </w:rPr>
              <w:t>钢丝绳结构</w:t>
            </w:r>
          </w:p>
          <w:p>
            <w:pPr>
              <w:spacing w:line="560" w:lineRule="exact"/>
              <w:jc w:val="center"/>
              <w:rPr>
                <w:rFonts w:hint="default" w:ascii="仿宋_GB2312" w:hAnsi="宋体" w:eastAsia="仿宋_GB2312" w:cs="仿宋_GB2312"/>
                <w:color w:val="auto"/>
                <w:sz w:val="28"/>
                <w:szCs w:val="28"/>
                <w:highlight w:val="none"/>
                <w:vertAlign w:val="baseline"/>
                <w:lang w:val="en-US" w:eastAsia="zh-CN"/>
              </w:rPr>
            </w:pPr>
            <w:r>
              <w:rPr>
                <w:rFonts w:hint="eastAsia" w:ascii="仿宋_GB2312" w:hAnsi="宋体" w:eastAsia="仿宋_GB2312" w:cs="仿宋_GB2312"/>
                <w:color w:val="auto"/>
                <w:sz w:val="28"/>
                <w:szCs w:val="28"/>
                <w:highlight w:val="none"/>
                <w:vertAlign w:val="baseline"/>
                <w:lang w:val="en-US" w:eastAsia="zh-CN"/>
              </w:rPr>
              <w:t>（参考）</w:t>
            </w:r>
          </w:p>
        </w:tc>
        <w:tc>
          <w:tcPr>
            <w:tcW w:w="2833" w:type="dxa"/>
            <w:vAlign w:val="center"/>
          </w:tcPr>
          <w:p>
            <w:pPr>
              <w:spacing w:line="560" w:lineRule="exact"/>
              <w:jc w:val="center"/>
              <w:rPr>
                <w:rFonts w:hint="default" w:ascii="仿宋_GB2312" w:hAnsi="宋体" w:eastAsia="仿宋_GB2312" w:cs="仿宋_GB2312"/>
                <w:color w:val="auto"/>
                <w:sz w:val="28"/>
                <w:szCs w:val="28"/>
                <w:highlight w:val="none"/>
                <w:vertAlign w:val="baseline"/>
                <w:lang w:val="en-US" w:eastAsia="zh-CN"/>
              </w:rPr>
            </w:pPr>
            <w:r>
              <w:rPr>
                <w:rFonts w:hint="eastAsia" w:ascii="仿宋_GB2312" w:hAnsi="宋体" w:eastAsia="仿宋_GB2312" w:cs="仿宋_GB2312"/>
                <w:color w:val="auto"/>
                <w:sz w:val="28"/>
                <w:szCs w:val="28"/>
                <w:highlight w:val="none"/>
                <w:vertAlign w:val="baseline"/>
                <w:lang w:val="en-US" w:eastAsia="zh-CN"/>
              </w:rPr>
              <w:t>使用地点</w:t>
            </w:r>
          </w:p>
        </w:tc>
        <w:tc>
          <w:tcPr>
            <w:tcW w:w="4359" w:type="dxa"/>
            <w:shd w:val="clear" w:color="auto" w:fill="auto"/>
            <w:vAlign w:val="center"/>
          </w:tcPr>
          <w:p>
            <w:pPr>
              <w:spacing w:line="560" w:lineRule="exact"/>
              <w:jc w:val="center"/>
              <w:rPr>
                <w:rFonts w:hint="eastAsia" w:ascii="仿宋_GB2312" w:hAnsi="宋体" w:eastAsia="仿宋_GB2312" w:cs="仿宋_GB2312"/>
                <w:color w:val="auto"/>
                <w:kern w:val="2"/>
                <w:sz w:val="28"/>
                <w:szCs w:val="28"/>
                <w:highlight w:val="none"/>
                <w:vertAlign w:val="baseline"/>
                <w:lang w:val="en-US" w:eastAsia="zh-CN" w:bidi="ar-SA"/>
              </w:rPr>
            </w:pPr>
            <w:r>
              <w:rPr>
                <w:rFonts w:hint="eastAsia" w:ascii="仿宋_GB2312" w:hAnsi="宋体" w:eastAsia="仿宋_GB2312" w:cs="仿宋_GB2312"/>
                <w:color w:val="auto"/>
                <w:sz w:val="28"/>
                <w:szCs w:val="28"/>
                <w:highlight w:val="none"/>
                <w:vertAlign w:val="baseline"/>
                <w:lang w:val="en-US" w:eastAsia="zh-CN"/>
              </w:rPr>
              <w:t>采购数量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vMerge w:val="restart"/>
            <w:vAlign w:val="center"/>
          </w:tcPr>
          <w:p>
            <w:pPr>
              <w:spacing w:line="560" w:lineRule="exact"/>
              <w:jc w:val="center"/>
              <w:rPr>
                <w:rFonts w:hint="eastAsia" w:ascii="仿宋_GB2312" w:hAnsi="宋体" w:eastAsia="仿宋_GB2312" w:cs="仿宋_GB2312"/>
                <w:color w:val="auto"/>
                <w:sz w:val="28"/>
                <w:szCs w:val="28"/>
                <w:highlight w:val="none"/>
                <w:vertAlign w:val="baseline"/>
              </w:rPr>
            </w:pPr>
            <w:r>
              <w:rPr>
                <w:rFonts w:hint="eastAsia" w:ascii="仿宋_GB2312" w:hAnsi="宋体" w:eastAsia="仿宋_GB2312" w:cs="仿宋_GB2312"/>
                <w:color w:val="auto"/>
                <w:sz w:val="28"/>
                <w:szCs w:val="28"/>
                <w:highlight w:val="none"/>
                <w:vertAlign w:val="baseline"/>
              </w:rPr>
              <w:t>6×30(12/12</w:t>
            </w:r>
          </w:p>
          <w:p>
            <w:pPr>
              <w:spacing w:line="560" w:lineRule="exact"/>
              <w:jc w:val="center"/>
              <w:rPr>
                <w:rFonts w:hint="default" w:ascii="仿宋_GB2312" w:hAnsi="宋体" w:eastAsia="仿宋_GB2312" w:cs="仿宋_GB2312"/>
                <w:color w:val="auto"/>
                <w:sz w:val="28"/>
                <w:szCs w:val="28"/>
                <w:highlight w:val="none"/>
                <w:vertAlign w:val="baseline"/>
                <w:lang w:val="en-US" w:eastAsia="zh-CN"/>
              </w:rPr>
            </w:pPr>
            <w:r>
              <w:rPr>
                <w:rFonts w:hint="eastAsia" w:ascii="仿宋_GB2312" w:hAnsi="宋体" w:eastAsia="仿宋_GB2312" w:cs="仿宋_GB2312"/>
                <w:color w:val="auto"/>
                <w:sz w:val="28"/>
                <w:szCs w:val="28"/>
                <w:highlight w:val="none"/>
                <w:vertAlign w:val="baseline"/>
              </w:rPr>
              <w:t>/6+3T)/F</w:t>
            </w:r>
          </w:p>
        </w:tc>
        <w:tc>
          <w:tcPr>
            <w:tcW w:w="2833" w:type="dxa"/>
            <w:vAlign w:val="center"/>
          </w:tcPr>
          <w:p>
            <w:pPr>
              <w:spacing w:line="560" w:lineRule="exact"/>
              <w:jc w:val="center"/>
              <w:rPr>
                <w:rFonts w:hint="default" w:ascii="仿宋_GB2312" w:hAnsi="宋体" w:eastAsia="仿宋_GB2312" w:cs="仿宋_GB2312"/>
                <w:color w:val="auto"/>
                <w:sz w:val="28"/>
                <w:szCs w:val="28"/>
                <w:highlight w:val="none"/>
                <w:vertAlign w:val="baseline"/>
                <w:lang w:val="en-US" w:eastAsia="zh-CN"/>
              </w:rPr>
            </w:pPr>
            <w:r>
              <w:rPr>
                <w:rFonts w:hint="eastAsia" w:ascii="仿宋_GB2312" w:hAnsi="宋体" w:eastAsia="仿宋_GB2312" w:cs="仿宋_GB2312"/>
                <w:color w:val="auto"/>
                <w:sz w:val="28"/>
                <w:szCs w:val="28"/>
                <w:highlight w:val="none"/>
                <w:vertAlign w:val="baseline"/>
                <w:lang w:val="en-US" w:eastAsia="zh-CN"/>
              </w:rPr>
              <w:t>杨柳副井提升机</w:t>
            </w:r>
          </w:p>
        </w:tc>
        <w:tc>
          <w:tcPr>
            <w:tcW w:w="4359" w:type="dxa"/>
            <w:shd w:val="clear" w:color="auto" w:fill="auto"/>
            <w:vAlign w:val="center"/>
          </w:tcPr>
          <w:p>
            <w:pPr>
              <w:spacing w:line="560" w:lineRule="exact"/>
              <w:jc w:val="left"/>
              <w:rPr>
                <w:rFonts w:hint="eastAsia" w:ascii="仿宋_GB2312" w:hAnsi="宋体" w:eastAsia="仿宋_GB2312" w:cs="仿宋_GB2312"/>
                <w:color w:val="auto"/>
                <w:kern w:val="2"/>
                <w:sz w:val="28"/>
                <w:szCs w:val="28"/>
                <w:highlight w:val="none"/>
                <w:vertAlign w:val="baseline"/>
                <w:lang w:val="en-US" w:eastAsia="zh-CN" w:bidi="ar-SA"/>
              </w:rPr>
            </w:pPr>
            <w:r>
              <w:rPr>
                <w:rFonts w:hint="eastAsia" w:ascii="仿宋_GB2312" w:hAnsi="宋体" w:eastAsia="仿宋_GB2312" w:cs="仿宋_GB2312"/>
                <w:color w:val="auto"/>
                <w:sz w:val="28"/>
                <w:szCs w:val="28"/>
                <w:highlight w:val="none"/>
                <w:lang w:val="en-US" w:eastAsia="zh-CN"/>
              </w:rPr>
              <w:t>1套（4根），77</w:t>
            </w:r>
            <w:r>
              <w:rPr>
                <w:rFonts w:hint="eastAsia" w:ascii="仿宋_GB2312" w:hAnsi="仿宋_GB2312" w:eastAsia="仿宋_GB2312" w:cs="仿宋_GB2312"/>
                <w:color w:val="auto"/>
                <w:sz w:val="28"/>
                <w:szCs w:val="28"/>
                <w:highlight w:val="none"/>
              </w:rPr>
              <w:t>0</w:t>
            </w:r>
            <w:r>
              <w:rPr>
                <w:rFonts w:hint="eastAsia" w:ascii="仿宋_GB2312" w:hAnsi="仿宋_GB2312" w:eastAsia="仿宋_GB2312" w:cs="仿宋_GB2312"/>
                <w:color w:val="auto"/>
                <w:sz w:val="28"/>
                <w:szCs w:val="28"/>
                <w:highlight w:val="none"/>
                <w:lang w:val="en-US" w:eastAsia="zh-CN"/>
              </w:rPr>
              <w:t>m/根，</w:t>
            </w:r>
            <w:r>
              <w:rPr>
                <w:rFonts w:hint="eastAsia" w:ascii="仿宋_GB2312" w:hAnsi="宋体" w:eastAsia="仿宋_GB2312" w:cs="仿宋_GB2312"/>
                <w:color w:val="auto"/>
                <w:sz w:val="28"/>
                <w:szCs w:val="28"/>
                <w:highlight w:val="none"/>
                <w:lang w:val="en-US" w:eastAsia="zh-CN"/>
              </w:rPr>
              <w:t>18664.8</w:t>
            </w:r>
            <w:r>
              <w:rPr>
                <w:rFonts w:hint="eastAsia" w:ascii="仿宋_GB2312" w:hAnsi="宋体" w:eastAsia="仿宋_GB2312" w:cs="仿宋_GB2312"/>
                <w:color w:val="auto"/>
                <w:sz w:val="28"/>
                <w:szCs w:val="28"/>
                <w:highlight w:val="none"/>
              </w:rPr>
              <w:t>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vMerge w:val="continue"/>
            <w:vAlign w:val="center"/>
          </w:tcPr>
          <w:p>
            <w:pPr>
              <w:spacing w:line="560" w:lineRule="exact"/>
              <w:jc w:val="center"/>
              <w:rPr>
                <w:rFonts w:hint="eastAsia" w:ascii="仿宋_GB2312" w:hAnsi="宋体" w:eastAsia="仿宋_GB2312" w:cs="仿宋_GB2312"/>
                <w:color w:val="auto"/>
                <w:sz w:val="28"/>
                <w:szCs w:val="28"/>
                <w:highlight w:val="none"/>
                <w:vertAlign w:val="baseline"/>
              </w:rPr>
            </w:pPr>
          </w:p>
        </w:tc>
        <w:tc>
          <w:tcPr>
            <w:tcW w:w="2833" w:type="dxa"/>
            <w:vAlign w:val="center"/>
          </w:tcPr>
          <w:p>
            <w:pPr>
              <w:spacing w:line="560" w:lineRule="exact"/>
              <w:jc w:val="center"/>
              <w:rPr>
                <w:rFonts w:hint="default" w:ascii="仿宋_GB2312" w:hAnsi="宋体" w:eastAsia="仿宋_GB2312" w:cs="仿宋_GB2312"/>
                <w:color w:val="auto"/>
                <w:sz w:val="28"/>
                <w:szCs w:val="28"/>
                <w:highlight w:val="none"/>
                <w:vertAlign w:val="baseline"/>
                <w:lang w:val="en-US" w:eastAsia="zh-CN"/>
              </w:rPr>
            </w:pPr>
            <w:r>
              <w:rPr>
                <w:rFonts w:hint="eastAsia" w:ascii="仿宋_GB2312" w:hAnsi="宋体" w:eastAsia="仿宋_GB2312" w:cs="仿宋_GB2312"/>
                <w:color w:val="auto"/>
                <w:sz w:val="28"/>
                <w:szCs w:val="28"/>
                <w:highlight w:val="none"/>
                <w:vertAlign w:val="baseline"/>
                <w:lang w:val="en-US" w:eastAsia="zh-CN"/>
              </w:rPr>
              <w:t>袁店一井副井提升机</w:t>
            </w:r>
          </w:p>
        </w:tc>
        <w:tc>
          <w:tcPr>
            <w:tcW w:w="4359" w:type="dxa"/>
            <w:shd w:val="clear" w:color="auto" w:fill="auto"/>
            <w:vAlign w:val="center"/>
          </w:tcPr>
          <w:p>
            <w:pPr>
              <w:spacing w:line="560" w:lineRule="exact"/>
              <w:jc w:val="left"/>
              <w:rPr>
                <w:rFonts w:hint="eastAsia" w:ascii="仿宋_GB2312" w:hAnsi="宋体" w:eastAsia="仿宋_GB2312" w:cs="仿宋_GB2312"/>
                <w:color w:val="auto"/>
                <w:kern w:val="2"/>
                <w:sz w:val="28"/>
                <w:szCs w:val="28"/>
                <w:highlight w:val="none"/>
                <w:vertAlign w:val="baseline"/>
                <w:lang w:val="en-US" w:eastAsia="zh-CN" w:bidi="ar-SA"/>
              </w:rPr>
            </w:pPr>
            <w:r>
              <w:rPr>
                <w:rFonts w:hint="eastAsia" w:ascii="仿宋_GB2312" w:hAnsi="宋体" w:eastAsia="仿宋_GB2312" w:cs="仿宋_GB2312"/>
                <w:color w:val="auto"/>
                <w:sz w:val="28"/>
                <w:szCs w:val="28"/>
                <w:highlight w:val="none"/>
                <w:lang w:val="en-US" w:eastAsia="zh-CN"/>
              </w:rPr>
              <w:t>1套（4根）</w:t>
            </w:r>
            <w:r>
              <w:rPr>
                <w:rFonts w:hint="eastAsia" w:ascii="仿宋_GB2312" w:hAnsi="宋体" w:eastAsia="仿宋_GB2312" w:cs="仿宋_GB2312"/>
                <w:color w:val="auto"/>
                <w:sz w:val="28"/>
                <w:szCs w:val="28"/>
                <w:highlight w:val="none"/>
                <w:vertAlign w:val="baseline"/>
                <w:lang w:val="en-US" w:eastAsia="zh-CN"/>
              </w:rPr>
              <w:t>，96</w:t>
            </w:r>
            <w:r>
              <w:rPr>
                <w:rFonts w:hint="eastAsia" w:ascii="仿宋_GB2312" w:hAnsi="宋体" w:eastAsia="仿宋_GB2312" w:cs="仿宋_GB2312"/>
                <w:color w:val="auto"/>
                <w:sz w:val="28"/>
                <w:szCs w:val="28"/>
                <w:highlight w:val="none"/>
              </w:rPr>
              <w:t>0m</w:t>
            </w:r>
            <w:r>
              <w:rPr>
                <w:rFonts w:hint="eastAsia" w:ascii="仿宋_GB2312" w:hAnsi="宋体" w:eastAsia="仿宋_GB2312" w:cs="仿宋_GB2312"/>
                <w:color w:val="auto"/>
                <w:sz w:val="28"/>
                <w:szCs w:val="28"/>
                <w:highlight w:val="none"/>
                <w:lang w:val="en-US" w:eastAsia="zh-CN"/>
              </w:rPr>
              <w:t>/根，23270.4</w:t>
            </w:r>
            <w:r>
              <w:rPr>
                <w:rFonts w:hint="eastAsia" w:ascii="仿宋_GB2312" w:hAnsi="宋体" w:eastAsia="仿宋_GB2312" w:cs="仿宋_GB2312"/>
                <w:color w:val="auto"/>
                <w:sz w:val="28"/>
                <w:szCs w:val="28"/>
                <w:highlight w:val="none"/>
              </w:rPr>
              <w:t>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vAlign w:val="center"/>
          </w:tcPr>
          <w:p>
            <w:pPr>
              <w:spacing w:line="560" w:lineRule="exact"/>
              <w:jc w:val="center"/>
              <w:rPr>
                <w:rFonts w:hint="eastAsia" w:ascii="仿宋_GB2312" w:hAnsi="宋体" w:eastAsia="仿宋_GB2312" w:cs="仿宋_GB2312"/>
                <w:color w:val="auto"/>
                <w:sz w:val="28"/>
                <w:szCs w:val="28"/>
                <w:highlight w:val="none"/>
                <w:vertAlign w:val="baseline"/>
              </w:rPr>
            </w:pPr>
          </w:p>
        </w:tc>
        <w:tc>
          <w:tcPr>
            <w:tcW w:w="2833" w:type="dxa"/>
            <w:vAlign w:val="center"/>
          </w:tcPr>
          <w:p>
            <w:pPr>
              <w:spacing w:line="560" w:lineRule="exact"/>
              <w:jc w:val="center"/>
              <w:rPr>
                <w:rFonts w:hint="eastAsia" w:ascii="仿宋_GB2312" w:hAnsi="宋体" w:eastAsia="仿宋_GB2312" w:cs="仿宋_GB2312"/>
                <w:color w:val="auto"/>
                <w:sz w:val="28"/>
                <w:szCs w:val="28"/>
                <w:highlight w:val="none"/>
                <w:vertAlign w:val="baseline"/>
                <w:lang w:val="en-US" w:eastAsia="zh-CN"/>
              </w:rPr>
            </w:pPr>
            <w:r>
              <w:rPr>
                <w:rFonts w:hint="eastAsia" w:ascii="仿宋_GB2312" w:hAnsi="宋体" w:eastAsia="仿宋_GB2312" w:cs="仿宋_GB2312"/>
                <w:color w:val="auto"/>
                <w:sz w:val="28"/>
                <w:szCs w:val="28"/>
                <w:highlight w:val="none"/>
                <w:vertAlign w:val="baseline"/>
                <w:lang w:val="en-US" w:eastAsia="zh-CN"/>
              </w:rPr>
              <w:t>袁店一井主井提升机</w:t>
            </w:r>
          </w:p>
        </w:tc>
        <w:tc>
          <w:tcPr>
            <w:tcW w:w="4359" w:type="dxa"/>
            <w:shd w:val="clear" w:color="auto" w:fill="auto"/>
            <w:vAlign w:val="center"/>
          </w:tcPr>
          <w:p>
            <w:pPr>
              <w:spacing w:line="560" w:lineRule="exact"/>
              <w:jc w:val="left"/>
              <w:rPr>
                <w:rFonts w:hint="eastAsia" w:ascii="仿宋_GB2312" w:hAnsi="宋体" w:eastAsia="仿宋_GB2312" w:cs="仿宋_GB2312"/>
                <w:color w:val="auto"/>
                <w:kern w:val="2"/>
                <w:sz w:val="28"/>
                <w:szCs w:val="28"/>
                <w:highlight w:val="none"/>
                <w:vertAlign w:val="baseline"/>
                <w:lang w:val="en-US" w:eastAsia="zh-CN" w:bidi="ar-SA"/>
              </w:rPr>
            </w:pPr>
            <w:r>
              <w:rPr>
                <w:rFonts w:hint="eastAsia" w:ascii="仿宋_GB2312" w:hAnsi="宋体" w:eastAsia="仿宋_GB2312" w:cs="仿宋_GB2312"/>
                <w:color w:val="auto"/>
                <w:sz w:val="28"/>
                <w:szCs w:val="28"/>
                <w:highlight w:val="none"/>
                <w:lang w:val="en-US" w:eastAsia="zh-CN"/>
              </w:rPr>
              <w:t>1套（4根）</w:t>
            </w:r>
            <w:r>
              <w:rPr>
                <w:rFonts w:hint="eastAsia" w:ascii="仿宋_GB2312" w:hAnsi="宋体" w:eastAsia="仿宋_GB2312" w:cs="仿宋_GB2312"/>
                <w:color w:val="auto"/>
                <w:sz w:val="28"/>
                <w:szCs w:val="28"/>
                <w:highlight w:val="none"/>
                <w:vertAlign w:val="baseline"/>
                <w:lang w:val="en-US" w:eastAsia="zh-CN"/>
              </w:rPr>
              <w:t>，96</w:t>
            </w:r>
            <w:r>
              <w:rPr>
                <w:rFonts w:hint="eastAsia" w:ascii="仿宋_GB2312" w:hAnsi="宋体" w:eastAsia="仿宋_GB2312" w:cs="仿宋_GB2312"/>
                <w:color w:val="auto"/>
                <w:sz w:val="28"/>
                <w:szCs w:val="28"/>
                <w:highlight w:val="none"/>
              </w:rPr>
              <w:t>0m</w:t>
            </w:r>
            <w:r>
              <w:rPr>
                <w:rFonts w:hint="eastAsia" w:ascii="仿宋_GB2312" w:hAnsi="宋体" w:eastAsia="仿宋_GB2312" w:cs="仿宋_GB2312"/>
                <w:color w:val="auto"/>
                <w:sz w:val="28"/>
                <w:szCs w:val="28"/>
                <w:highlight w:val="none"/>
                <w:lang w:val="en-US" w:eastAsia="zh-CN"/>
              </w:rPr>
              <w:t>/根，23270.4</w:t>
            </w:r>
            <w:r>
              <w:rPr>
                <w:rFonts w:hint="eastAsia" w:ascii="仿宋_GB2312" w:hAnsi="宋体" w:eastAsia="仿宋_GB2312" w:cs="仿宋_GB2312"/>
                <w:color w:val="auto"/>
                <w:sz w:val="28"/>
                <w:szCs w:val="28"/>
                <w:highlight w:val="none"/>
              </w:rPr>
              <w:t>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8" w:type="dxa"/>
            <w:gridSpan w:val="2"/>
            <w:vAlign w:val="center"/>
          </w:tcPr>
          <w:p>
            <w:pPr>
              <w:spacing w:line="560" w:lineRule="exact"/>
              <w:jc w:val="center"/>
              <w:rPr>
                <w:rFonts w:hint="default" w:ascii="仿宋_GB2312" w:hAnsi="宋体" w:eastAsia="仿宋_GB2312" w:cs="仿宋_GB2312"/>
                <w:color w:val="auto"/>
                <w:sz w:val="28"/>
                <w:szCs w:val="28"/>
                <w:highlight w:val="none"/>
                <w:vertAlign w:val="baseline"/>
                <w:lang w:val="en-US" w:eastAsia="zh-CN"/>
              </w:rPr>
            </w:pPr>
            <w:r>
              <w:rPr>
                <w:rFonts w:hint="eastAsia" w:ascii="仿宋_GB2312" w:hAnsi="宋体" w:eastAsia="仿宋_GB2312" w:cs="仿宋_GB2312"/>
                <w:color w:val="auto"/>
                <w:sz w:val="28"/>
                <w:szCs w:val="28"/>
                <w:highlight w:val="none"/>
                <w:vertAlign w:val="baseline"/>
                <w:lang w:val="en-US" w:eastAsia="zh-CN"/>
              </w:rPr>
              <w:t>共计</w:t>
            </w:r>
          </w:p>
        </w:tc>
        <w:tc>
          <w:tcPr>
            <w:tcW w:w="4359" w:type="dxa"/>
            <w:shd w:val="clear" w:color="auto" w:fill="auto"/>
            <w:vAlign w:val="center"/>
          </w:tcPr>
          <w:p>
            <w:pPr>
              <w:spacing w:line="560" w:lineRule="exact"/>
              <w:jc w:val="center"/>
              <w:rPr>
                <w:rFonts w:hint="default" w:ascii="仿宋_GB2312" w:hAnsi="宋体" w:eastAsia="仿宋_GB2312" w:cs="仿宋_GB2312"/>
                <w:color w:val="auto"/>
                <w:sz w:val="28"/>
                <w:szCs w:val="28"/>
                <w:highlight w:val="none"/>
                <w:vertAlign w:val="baseline"/>
                <w:lang w:val="en-US" w:eastAsia="zh-CN"/>
              </w:rPr>
            </w:pPr>
            <w:r>
              <w:rPr>
                <w:rFonts w:hint="eastAsia" w:ascii="仿宋_GB2312" w:hAnsi="宋体" w:eastAsia="仿宋_GB2312" w:cs="仿宋_GB2312"/>
                <w:color w:val="auto"/>
                <w:sz w:val="28"/>
                <w:szCs w:val="28"/>
                <w:highlight w:val="none"/>
                <w:vertAlign w:val="baseline"/>
                <w:lang w:val="en-US" w:eastAsia="zh-CN"/>
              </w:rPr>
              <w:t>65205.6kg</w:t>
            </w:r>
          </w:p>
        </w:tc>
      </w:tr>
    </w:tbl>
    <w:p>
      <w:pPr>
        <w:spacing w:line="560" w:lineRule="exact"/>
        <w:ind w:firstLine="640" w:firstLineChars="200"/>
        <w:rPr>
          <w:rFonts w:hint="eastAsia"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rPr>
        <w:t>本次招标数量为理论计算数量，中标后一次性签订合同，</w:t>
      </w:r>
      <w:r>
        <w:rPr>
          <w:rFonts w:hint="eastAsia" w:ascii="仿宋_GB2312" w:hAnsi="仿宋_GB2312" w:eastAsia="仿宋_GB2312" w:cs="仿宋_GB2312"/>
          <w:color w:val="auto"/>
          <w:sz w:val="32"/>
          <w:szCs w:val="32"/>
          <w:highlight w:val="none"/>
        </w:rPr>
        <w:t>依据实际收货</w:t>
      </w:r>
      <w:r>
        <w:rPr>
          <w:rFonts w:hint="eastAsia" w:ascii="仿宋_GB2312" w:hAnsi="仿宋_GB2312" w:eastAsia="仿宋_GB2312" w:cs="仿宋_GB2312"/>
          <w:color w:val="auto"/>
          <w:sz w:val="32"/>
          <w:szCs w:val="32"/>
          <w:highlight w:val="none"/>
          <w:lang w:val="en-US" w:eastAsia="zh-CN"/>
        </w:rPr>
        <w:t>数</w:t>
      </w:r>
      <w:r>
        <w:rPr>
          <w:rFonts w:hint="eastAsia" w:ascii="仿宋_GB2312" w:hAnsi="仿宋_GB2312" w:eastAsia="仿宋_GB2312" w:cs="仿宋_GB2312"/>
          <w:color w:val="auto"/>
          <w:sz w:val="32"/>
          <w:szCs w:val="32"/>
          <w:highlight w:val="none"/>
        </w:rPr>
        <w:t>量进行结算。</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Times New Roman"/>
          <w:b w:val="0"/>
          <w:bCs/>
          <w:color w:val="auto"/>
          <w:sz w:val="32"/>
          <w:szCs w:val="32"/>
          <w:highlight w:val="none"/>
          <w:lang w:val="en-US" w:eastAsia="zh-CN"/>
        </w:rPr>
      </w:pPr>
      <w:r>
        <w:rPr>
          <w:rFonts w:hint="eastAsia" w:ascii="黑体" w:hAnsi="黑体" w:eastAsia="黑体" w:cs="Times New Roman"/>
          <w:b w:val="0"/>
          <w:bCs/>
          <w:color w:val="auto"/>
          <w:sz w:val="32"/>
          <w:szCs w:val="32"/>
          <w:highlight w:val="none"/>
          <w:lang w:val="en-US" w:eastAsia="zh-CN"/>
        </w:rPr>
        <w:t>二、执行标准和规范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lang w:val="en-US" w:eastAsia="zh-CN"/>
        </w:rPr>
        <w:t>钢丝绳</w:t>
      </w:r>
      <w:r>
        <w:rPr>
          <w:rFonts w:hint="eastAsia" w:ascii="仿宋_GB2312" w:hAnsi="宋体" w:eastAsia="仿宋_GB2312" w:cs="仿宋_GB2312"/>
          <w:color w:val="auto"/>
          <w:sz w:val="32"/>
          <w:szCs w:val="32"/>
          <w:highlight w:val="none"/>
        </w:rPr>
        <w:t>的设计、生产、检验应符合（不限于）下列标准：</w:t>
      </w:r>
    </w:p>
    <w:p>
      <w:pPr>
        <w:keepNext w:val="0"/>
        <w:keepLines w:val="0"/>
        <w:pageBreakBefore w:val="0"/>
        <w:widowControl w:val="0"/>
        <w:numPr>
          <w:ilvl w:val="0"/>
          <w:numId w:val="0"/>
        </w:numPr>
        <w:wordWrap/>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kern w:val="2"/>
          <w:sz w:val="32"/>
          <w:szCs w:val="32"/>
          <w:highlight w:val="none"/>
          <w:lang w:val="en-US" w:eastAsia="zh-CN" w:bidi="ar-SA"/>
        </w:rPr>
        <w:t>1.</w:t>
      </w:r>
      <w:r>
        <w:rPr>
          <w:rFonts w:hint="eastAsia" w:ascii="仿宋_GB2312" w:hAnsi="仿宋_GB2312" w:eastAsia="仿宋_GB2312" w:cs="仿宋_GB2312"/>
          <w:color w:val="auto"/>
          <w:sz w:val="32"/>
          <w:szCs w:val="32"/>
          <w:highlight w:val="none"/>
          <w:lang w:val="en-US" w:eastAsia="zh-CN"/>
        </w:rPr>
        <w:t>GB/T 8918-2006 《重要用途钢丝绳》</w:t>
      </w:r>
    </w:p>
    <w:p>
      <w:pPr>
        <w:keepNext w:val="0"/>
        <w:keepLines w:val="0"/>
        <w:pageBreakBefore w:val="0"/>
        <w:widowControl w:val="0"/>
        <w:numPr>
          <w:ilvl w:val="0"/>
          <w:numId w:val="0"/>
        </w:numPr>
        <w:wordWrap/>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kern w:val="2"/>
          <w:sz w:val="32"/>
          <w:szCs w:val="32"/>
          <w:highlight w:val="none"/>
          <w:lang w:val="en-US" w:eastAsia="zh-CN" w:bidi="ar-SA"/>
        </w:rPr>
        <w:t>2.</w:t>
      </w:r>
      <w:r>
        <w:rPr>
          <w:rFonts w:hint="eastAsia" w:ascii="仿宋_GB2312" w:hAnsi="仿宋_GB2312" w:eastAsia="仿宋_GB2312" w:cs="仿宋_GB2312"/>
          <w:color w:val="auto"/>
          <w:sz w:val="32"/>
          <w:szCs w:val="32"/>
          <w:highlight w:val="none"/>
          <w:lang w:val="en-US" w:eastAsia="zh-CN"/>
        </w:rPr>
        <w:t>MT/T 716-2019 《煤矿重要用途钢丝绳验收技术条件》</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现行国家、行业的其他有关标准及《煤矿安全规程》（2025版），投标厂商所使用的标准、规范均应是现行有效版本。计量单位应以国际单位制（SI）表示。</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黑体" w:hAnsi="黑体" w:eastAsia="黑体" w:cs="Times New Roman"/>
          <w:b w:val="0"/>
          <w:bCs/>
          <w:color w:val="auto"/>
          <w:sz w:val="32"/>
          <w:szCs w:val="32"/>
          <w:highlight w:val="none"/>
          <w:lang w:val="en-US" w:eastAsia="zh-CN"/>
        </w:rPr>
      </w:pPr>
      <w:r>
        <w:rPr>
          <w:rFonts w:hint="eastAsia" w:ascii="黑体" w:hAnsi="黑体" w:eastAsia="黑体" w:cs="Times New Roman"/>
          <w:b w:val="0"/>
          <w:bCs/>
          <w:color w:val="auto"/>
          <w:sz w:val="32"/>
          <w:szCs w:val="32"/>
          <w:highlight w:val="none"/>
          <w:lang w:val="en-US" w:eastAsia="zh-CN"/>
        </w:rPr>
        <w:t>三、主要技术参数及技术要求</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textAlignment w:val="auto"/>
        <w:rPr>
          <w:rFonts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（一）钢丝绳技术参数</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仿宋_GB2312"/>
          <w:color w:val="auto"/>
          <w:sz w:val="32"/>
          <w:szCs w:val="32"/>
          <w:highlight w:val="none"/>
          <w:lang w:eastAsia="zh-CN"/>
        </w:rPr>
      </w:pPr>
      <w:r>
        <w:rPr>
          <w:rFonts w:hint="eastAsia" w:ascii="仿宋_GB2312" w:hAnsi="宋体" w:eastAsia="仿宋_GB2312" w:cs="仿宋_GB2312"/>
          <w:color w:val="auto"/>
          <w:sz w:val="32"/>
          <w:szCs w:val="32"/>
          <w:highlight w:val="none"/>
          <w:lang w:val="en-US" w:eastAsia="zh-CN"/>
        </w:rPr>
        <w:t>1.钢丝绳名称：</w:t>
      </w:r>
      <w:r>
        <w:rPr>
          <w:rFonts w:hint="eastAsia" w:ascii="仿宋_GB2312" w:hAnsi="宋体" w:eastAsia="仿宋_GB2312" w:cs="仿宋_GB2312"/>
          <w:color w:val="auto"/>
          <w:sz w:val="32"/>
          <w:szCs w:val="32"/>
          <w:highlight w:val="none"/>
        </w:rPr>
        <w:t>镀锌三角股钢丝绳</w:t>
      </w:r>
      <w:r>
        <w:rPr>
          <w:rFonts w:hint="eastAsia" w:ascii="仿宋_GB2312" w:hAnsi="宋体" w:eastAsia="仿宋_GB2312" w:cs="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仿宋_GB2312"/>
          <w:color w:val="auto"/>
          <w:sz w:val="28"/>
          <w:szCs w:val="28"/>
          <w:highlight w:val="none"/>
          <w:vertAlign w:val="baseline"/>
        </w:rPr>
      </w:pPr>
      <w:r>
        <w:rPr>
          <w:rFonts w:hint="eastAsia" w:ascii="仿宋_GB2312" w:hAnsi="宋体" w:eastAsia="仿宋_GB2312" w:cs="仿宋_GB2312"/>
          <w:color w:val="auto"/>
          <w:sz w:val="32"/>
          <w:szCs w:val="32"/>
          <w:lang w:val="en-US" w:eastAsia="zh-CN"/>
        </w:rPr>
        <w:t>2.钢丝绳结构（参考）：</w:t>
      </w:r>
      <w:r>
        <w:rPr>
          <w:rFonts w:hint="eastAsia" w:ascii="仿宋_GB2312" w:hAnsi="宋体" w:eastAsia="仿宋_GB2312" w:cs="仿宋_GB2312"/>
          <w:color w:val="auto"/>
          <w:sz w:val="28"/>
          <w:szCs w:val="28"/>
          <w:highlight w:val="none"/>
          <w:vertAlign w:val="baseline"/>
        </w:rPr>
        <w:t>6×30(12/12/6+3T)/F</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lang w:val="en-US" w:eastAsia="zh-CN"/>
        </w:rPr>
        <w:t>3</w:t>
      </w:r>
      <w:r>
        <w:rPr>
          <w:rFonts w:hint="eastAsia" w:ascii="仿宋_GB2312" w:hAnsi="宋体" w:eastAsia="仿宋_GB2312" w:cs="仿宋_GB2312"/>
          <w:color w:val="auto"/>
          <w:sz w:val="32"/>
          <w:szCs w:val="32"/>
          <w:highlight w:val="none"/>
        </w:rPr>
        <w:t>.钢丝绳直径</w:t>
      </w:r>
      <w:r>
        <w:rPr>
          <w:rFonts w:hint="eastAsia" w:ascii="仿宋_GB2312" w:hAnsi="宋体" w:eastAsia="仿宋_GB2312" w:cs="仿宋_GB2312"/>
          <w:color w:val="auto"/>
          <w:sz w:val="32"/>
          <w:szCs w:val="32"/>
          <w:highlight w:val="none"/>
          <w:lang w:eastAsia="zh-CN"/>
        </w:rPr>
        <w:t>：</w:t>
      </w:r>
      <w:r>
        <w:rPr>
          <w:rFonts w:hint="eastAsia" w:ascii="仿宋_GB2312" w:hAnsi="宋体" w:eastAsia="仿宋_GB2312" w:cs="仿宋_GB2312"/>
          <w:color w:val="auto"/>
          <w:sz w:val="32"/>
          <w:szCs w:val="32"/>
          <w:highlight w:val="none"/>
          <w:lang w:val="en-US" w:eastAsia="zh-CN"/>
        </w:rPr>
        <w:t>38.0</w:t>
      </w:r>
      <w:r>
        <w:rPr>
          <w:rFonts w:hint="eastAsia" w:ascii="仿宋_GB2312" w:hAnsi="宋体" w:eastAsia="仿宋_GB2312" w:cs="仿宋_GB2312"/>
          <w:color w:val="auto"/>
          <w:sz w:val="32"/>
          <w:szCs w:val="32"/>
          <w:highlight w:val="none"/>
        </w:rPr>
        <w:t>mm。</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仿宋_GB2312"/>
          <w:color w:val="auto"/>
          <w:sz w:val="32"/>
          <w:szCs w:val="32"/>
          <w:highlight w:val="none"/>
          <w:lang w:val="en-US" w:eastAsia="zh-CN"/>
        </w:rPr>
      </w:pPr>
      <w:r>
        <w:rPr>
          <w:rFonts w:hint="eastAsia" w:ascii="仿宋_GB2312" w:hAnsi="宋体" w:eastAsia="仿宋_GB2312" w:cs="仿宋_GB2312"/>
          <w:color w:val="auto"/>
          <w:sz w:val="32"/>
          <w:szCs w:val="32"/>
          <w:highlight w:val="none"/>
          <w:lang w:val="en-US" w:eastAsia="zh-CN"/>
        </w:rPr>
        <w:t>4</w:t>
      </w:r>
      <w:r>
        <w:rPr>
          <w:rFonts w:hint="eastAsia" w:ascii="仿宋_GB2312" w:hAnsi="宋体" w:eastAsia="仿宋_GB2312" w:cs="仿宋_GB2312"/>
          <w:color w:val="auto"/>
          <w:sz w:val="32"/>
          <w:szCs w:val="32"/>
          <w:highlight w:val="none"/>
        </w:rPr>
        <w:t>.</w:t>
      </w:r>
      <w:r>
        <w:rPr>
          <w:rFonts w:hint="eastAsia" w:ascii="仿宋_GB2312" w:hAnsi="宋体" w:eastAsia="仿宋_GB2312" w:cs="仿宋_GB2312"/>
          <w:color w:val="auto"/>
          <w:sz w:val="32"/>
          <w:szCs w:val="32"/>
          <w:highlight w:val="none"/>
          <w:lang w:val="en-US" w:eastAsia="zh-CN"/>
        </w:rPr>
        <w:t>钢丝绳</w:t>
      </w:r>
      <w:r>
        <w:rPr>
          <w:rFonts w:hint="eastAsia" w:ascii="仿宋_GB2312" w:hAnsi="宋体" w:eastAsia="仿宋_GB2312" w:cs="仿宋_GB2312"/>
          <w:color w:val="auto"/>
          <w:sz w:val="32"/>
          <w:szCs w:val="32"/>
          <w:highlight w:val="none"/>
        </w:rPr>
        <w:t>长度</w:t>
      </w:r>
      <w:r>
        <w:rPr>
          <w:rFonts w:hint="eastAsia" w:ascii="仿宋_GB2312" w:hAnsi="宋体"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见招标范围附表。</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lang w:val="en-US" w:eastAsia="zh-CN"/>
        </w:rPr>
        <w:t>5.钢丝绳数量：12</w:t>
      </w:r>
      <w:r>
        <w:rPr>
          <w:rFonts w:hint="eastAsia" w:ascii="仿宋_GB2312" w:hAnsi="宋体" w:eastAsia="仿宋_GB2312" w:cs="仿宋_GB2312"/>
          <w:color w:val="auto"/>
          <w:sz w:val="32"/>
          <w:szCs w:val="32"/>
          <w:highlight w:val="none"/>
        </w:rPr>
        <w:t>根。</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宋体" w:eastAsia="仿宋_GB2312" w:cs="仿宋_GB2312"/>
          <w:color w:val="auto"/>
          <w:sz w:val="32"/>
          <w:szCs w:val="32"/>
          <w:lang w:val="en-US" w:eastAsia="zh-CN"/>
        </w:rPr>
      </w:pPr>
      <w:r>
        <w:rPr>
          <w:rFonts w:hint="eastAsia" w:ascii="仿宋_GB2312" w:hAnsi="宋体" w:eastAsia="仿宋_GB2312" w:cs="仿宋_GB2312"/>
          <w:color w:val="auto"/>
          <w:sz w:val="32"/>
          <w:szCs w:val="32"/>
          <w:lang w:val="en-US" w:eastAsia="zh-CN"/>
        </w:rPr>
        <w:t>6.理论</w:t>
      </w:r>
      <w:r>
        <w:rPr>
          <w:rFonts w:hint="eastAsia" w:ascii="仿宋_GB2312" w:hAnsi="仿宋_GB2312" w:eastAsia="仿宋_GB2312" w:cs="仿宋_GB2312"/>
          <w:color w:val="auto"/>
          <w:sz w:val="32"/>
          <w:szCs w:val="32"/>
          <w:highlight w:val="none"/>
        </w:rPr>
        <w:t>单位长度重量</w:t>
      </w:r>
      <w:r>
        <w:rPr>
          <w:rFonts w:hint="eastAsia" w:ascii="仿宋_GB2312" w:hAnsi="宋体" w:eastAsia="仿宋_GB2312" w:cs="仿宋_GB2312"/>
          <w:color w:val="auto"/>
          <w:sz w:val="32"/>
          <w:szCs w:val="32"/>
          <w:lang w:val="en-US" w:eastAsia="zh-CN"/>
        </w:rPr>
        <w:t>：6.06kg/m。</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lang w:val="en-US" w:eastAsia="zh-CN"/>
        </w:rPr>
        <w:t>7</w:t>
      </w:r>
      <w:r>
        <w:rPr>
          <w:rFonts w:hint="eastAsia" w:ascii="仿宋_GB2312" w:hAnsi="宋体" w:eastAsia="仿宋_GB2312" w:cs="仿宋_GB2312"/>
          <w:color w:val="auto"/>
          <w:sz w:val="32"/>
          <w:szCs w:val="32"/>
          <w:highlight w:val="none"/>
        </w:rPr>
        <w:t>.捻向：</w:t>
      </w:r>
      <w:r>
        <w:rPr>
          <w:rFonts w:hint="eastAsia" w:ascii="仿宋_GB2312" w:hAnsi="宋体" w:eastAsia="仿宋_GB2312" w:cs="仿宋_GB2312"/>
          <w:color w:val="auto"/>
          <w:sz w:val="32"/>
          <w:szCs w:val="32"/>
          <w:highlight w:val="none"/>
          <w:lang w:val="en-US" w:eastAsia="zh-CN"/>
        </w:rPr>
        <w:t>在技术协议中规定</w:t>
      </w:r>
      <w:r>
        <w:rPr>
          <w:rFonts w:hint="eastAsia" w:ascii="仿宋_GB2312" w:hAnsi="宋体" w:eastAsia="仿宋_GB2312" w:cs="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lang w:val="en-US" w:eastAsia="zh-CN"/>
        </w:rPr>
        <w:t>8</w:t>
      </w:r>
      <w:r>
        <w:rPr>
          <w:rFonts w:hint="eastAsia" w:ascii="仿宋_GB2312" w:hAnsi="宋体" w:eastAsia="仿宋_GB2312" w:cs="仿宋_GB2312"/>
          <w:color w:val="auto"/>
          <w:sz w:val="32"/>
          <w:szCs w:val="32"/>
          <w:highlight w:val="none"/>
        </w:rPr>
        <w:t>.钢丝公称抗拉强度</w:t>
      </w:r>
      <w:r>
        <w:rPr>
          <w:rFonts w:hint="eastAsia" w:ascii="仿宋_GB2312" w:hAnsi="宋体" w:eastAsia="仿宋_GB2312" w:cs="仿宋_GB2312"/>
          <w:color w:val="auto"/>
          <w:sz w:val="32"/>
          <w:szCs w:val="32"/>
          <w:highlight w:val="none"/>
          <w:lang w:eastAsia="zh-CN"/>
        </w:rPr>
        <w:t>：</w:t>
      </w:r>
      <w:r>
        <w:rPr>
          <w:rFonts w:hint="eastAsia" w:ascii="仿宋_GB2312" w:hAnsi="宋体" w:eastAsia="仿宋_GB2312" w:cs="仿宋_GB2312"/>
          <w:color w:val="auto"/>
          <w:sz w:val="32"/>
          <w:szCs w:val="32"/>
          <w:highlight w:val="none"/>
        </w:rPr>
        <w:t>1</w:t>
      </w:r>
      <w:r>
        <w:rPr>
          <w:rFonts w:hint="eastAsia" w:ascii="仿宋_GB2312" w:hAnsi="宋体" w:eastAsia="仿宋_GB2312" w:cs="仿宋_GB2312"/>
          <w:color w:val="auto"/>
          <w:sz w:val="32"/>
          <w:szCs w:val="32"/>
          <w:highlight w:val="none"/>
          <w:lang w:val="en-US" w:eastAsia="zh-CN"/>
        </w:rPr>
        <w:t>77</w:t>
      </w:r>
      <w:r>
        <w:rPr>
          <w:rFonts w:hint="eastAsia" w:ascii="仿宋_GB2312" w:hAnsi="宋体" w:eastAsia="仿宋_GB2312" w:cs="仿宋_GB2312"/>
          <w:color w:val="auto"/>
          <w:sz w:val="32"/>
          <w:szCs w:val="32"/>
          <w:highlight w:val="none"/>
        </w:rPr>
        <w:t>0MPa。</w:t>
      </w:r>
    </w:p>
    <w:p>
      <w:pPr>
        <w:spacing w:line="560" w:lineRule="exact"/>
        <w:ind w:firstLine="640" w:firstLineChars="200"/>
        <w:rPr>
          <w:rFonts w:hint="default" w:ascii="仿宋" w:hAnsi="仿宋" w:eastAsia="仿宋"/>
          <w:color w:val="auto"/>
          <w:sz w:val="32"/>
          <w:szCs w:val="32"/>
          <w:highlight w:val="none"/>
          <w:lang w:val="en-US" w:eastAsia="zh-CN"/>
        </w:rPr>
      </w:pPr>
      <w:r>
        <w:rPr>
          <w:rFonts w:hint="eastAsia" w:ascii="仿宋" w:hAnsi="仿宋" w:eastAsia="仿宋"/>
          <w:color w:val="auto"/>
          <w:sz w:val="32"/>
          <w:szCs w:val="32"/>
          <w:highlight w:val="none"/>
          <w:lang w:val="en-US" w:eastAsia="zh-CN"/>
        </w:rPr>
        <w:t>9.钢丝绳破断拉力总和不低于1148.24kN。</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宋体" w:eastAsia="仿宋_GB2312" w:cs="仿宋_GB2312"/>
          <w:color w:val="auto"/>
          <w:sz w:val="32"/>
          <w:szCs w:val="32"/>
          <w:highlight w:val="none"/>
          <w:lang w:val="en-US" w:eastAsia="zh-CN"/>
        </w:rPr>
        <w:t>10</w:t>
      </w:r>
      <w:r>
        <w:rPr>
          <w:rFonts w:hint="eastAsia" w:ascii="仿宋_GB2312" w:hAnsi="宋体" w:eastAsia="仿宋_GB2312" w:cs="仿宋_GB2312"/>
          <w:color w:val="auto"/>
          <w:sz w:val="32"/>
          <w:szCs w:val="32"/>
          <w:highlight w:val="none"/>
        </w:rPr>
        <w:t>.镀锌：</w:t>
      </w:r>
      <w:r>
        <w:rPr>
          <w:rFonts w:hint="eastAsia" w:ascii="仿宋_GB2312" w:hAnsi="宋体" w:eastAsia="仿宋_GB2312" w:cs="仿宋_GB2312"/>
          <w:color w:val="auto"/>
          <w:sz w:val="32"/>
          <w:szCs w:val="32"/>
          <w:highlight w:val="none"/>
          <w:lang w:val="en-US" w:eastAsia="zh-CN"/>
        </w:rPr>
        <w:t>B</w:t>
      </w:r>
      <w:r>
        <w:rPr>
          <w:rFonts w:hint="eastAsia" w:ascii="仿宋_GB2312" w:hAnsi="宋体" w:eastAsia="仿宋_GB2312" w:cs="仿宋_GB2312"/>
          <w:color w:val="auto"/>
          <w:sz w:val="32"/>
          <w:szCs w:val="32"/>
          <w:highlight w:val="none"/>
        </w:rPr>
        <w:t>级镀锌</w:t>
      </w:r>
      <w:r>
        <w:rPr>
          <w:rFonts w:hint="eastAsia" w:ascii="仿宋_GB2312" w:hAnsi="仿宋_GB2312" w:eastAsia="仿宋_GB2312" w:cs="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lang w:val="en-US" w:eastAsia="zh-CN"/>
        </w:rPr>
        <w:t>11</w:t>
      </w:r>
      <w:r>
        <w:rPr>
          <w:rFonts w:hint="eastAsia" w:ascii="仿宋_GB2312" w:hAnsi="宋体" w:eastAsia="仿宋_GB2312" w:cs="仿宋_GB2312"/>
          <w:color w:val="auto"/>
          <w:sz w:val="32"/>
          <w:szCs w:val="32"/>
          <w:highlight w:val="none"/>
        </w:rPr>
        <w:t>.钢丝绳及内部绳芯使用进口戈培油，标准涂油。</w:t>
      </w:r>
    </w:p>
    <w:p>
      <w:pPr>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.用途：</w:t>
      </w:r>
      <w:r>
        <w:rPr>
          <w:rFonts w:hint="eastAsia" w:ascii="仿宋_GB2312" w:hAnsi="仿宋_GB2312" w:eastAsia="仿宋_GB2312" w:cs="仿宋_GB2312"/>
          <w:color w:val="auto"/>
          <w:sz w:val="32"/>
          <w:szCs w:val="32"/>
          <w:highlight w:val="none"/>
          <w:lang w:val="en-US" w:eastAsia="zh-CN"/>
        </w:rPr>
        <w:t>立井</w:t>
      </w:r>
      <w:r>
        <w:rPr>
          <w:rFonts w:hint="eastAsia" w:ascii="仿宋_GB2312" w:hAnsi="仿宋_GB2312" w:eastAsia="仿宋_GB2312" w:cs="仿宋_GB2312"/>
          <w:color w:val="auto"/>
          <w:sz w:val="32"/>
          <w:szCs w:val="32"/>
          <w:highlight w:val="none"/>
        </w:rPr>
        <w:t>提升系统</w:t>
      </w:r>
      <w:r>
        <w:rPr>
          <w:rFonts w:hint="eastAsia" w:ascii="仿宋_GB2312" w:hAnsi="仿宋_GB2312" w:eastAsia="仿宋_GB2312" w:cs="仿宋_GB2312"/>
          <w:color w:val="auto"/>
          <w:sz w:val="32"/>
          <w:szCs w:val="32"/>
          <w:highlight w:val="none"/>
          <w:lang w:val="en-US" w:eastAsia="zh-CN"/>
        </w:rPr>
        <w:t>主提升</w:t>
      </w:r>
      <w:r>
        <w:rPr>
          <w:rFonts w:hint="eastAsia" w:ascii="仿宋_GB2312" w:hAnsi="仿宋_GB2312" w:eastAsia="仿宋_GB2312" w:cs="仿宋_GB2312"/>
          <w:color w:val="auto"/>
          <w:sz w:val="32"/>
          <w:szCs w:val="32"/>
          <w:highlight w:val="none"/>
        </w:rPr>
        <w:t>钢丝绳。</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textAlignment w:val="auto"/>
        <w:rPr>
          <w:rFonts w:ascii="楷体" w:hAnsi="楷体" w:eastAsia="楷体" w:cs="仿宋_GB2312"/>
          <w:b/>
          <w:color w:val="auto"/>
          <w:sz w:val="32"/>
          <w:szCs w:val="32"/>
        </w:rPr>
      </w:pPr>
      <w:r>
        <w:rPr>
          <w:rFonts w:hint="eastAsia" w:ascii="楷体" w:hAnsi="楷体" w:eastAsia="楷体" w:cs="仿宋_GB2312"/>
          <w:b/>
          <w:color w:val="auto"/>
          <w:sz w:val="32"/>
          <w:szCs w:val="32"/>
        </w:rPr>
        <w:t>（二）技术要求</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1.要求：整绳长度钢丝无焊接接头。</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2.钢丝绳应捻制均匀、紧密和不松散；在展开和无负荷情况下，不得呈波浪状；绳内钢丝不得有交错、折弯、断丝和锈蚀等缺陷；</w:t>
      </w:r>
      <w:r>
        <w:rPr>
          <w:rFonts w:hint="eastAsia" w:ascii="仿宋_GB2312" w:hAnsi="宋体" w:eastAsia="仿宋_GB2312" w:cs="仿宋_GB2312"/>
          <w:color w:val="auto"/>
          <w:sz w:val="32"/>
          <w:szCs w:val="32"/>
          <w:lang w:val="en-US" w:eastAsia="zh-CN"/>
        </w:rPr>
        <w:t>在</w:t>
      </w:r>
      <w:r>
        <w:rPr>
          <w:rFonts w:hint="eastAsia" w:ascii="仿宋_GB2312" w:hAnsi="宋体" w:eastAsia="仿宋_GB2312" w:cs="仿宋_GB2312"/>
          <w:color w:val="auto"/>
          <w:sz w:val="32"/>
          <w:szCs w:val="32"/>
        </w:rPr>
        <w:t>正常使用情况</w:t>
      </w:r>
      <w:r>
        <w:rPr>
          <w:rFonts w:hint="eastAsia" w:ascii="仿宋_GB2312" w:hAnsi="宋体" w:eastAsia="仿宋_GB2312" w:cs="仿宋_GB2312"/>
          <w:color w:val="auto"/>
          <w:sz w:val="32"/>
          <w:szCs w:val="32"/>
          <w:lang w:val="en-US" w:eastAsia="zh-CN"/>
        </w:rPr>
        <w:t>下，</w:t>
      </w:r>
      <w:r>
        <w:rPr>
          <w:rFonts w:hint="eastAsia" w:ascii="仿宋_GB2312" w:hAnsi="仿宋_GB2312" w:eastAsia="仿宋_GB2312" w:cs="仿宋_GB2312"/>
          <w:color w:val="auto"/>
          <w:sz w:val="32"/>
          <w:szCs w:val="32"/>
          <w:highlight w:val="none"/>
          <w:lang w:val="en-US" w:eastAsia="zh-CN"/>
        </w:rPr>
        <w:t>钢丝绳不出现异常扭曲、变形等现象；钢丝绳的绳芯应具有足够的支撑作用。</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3.钢丝绳制造时，同直径钢丝应为同一公称抗拉强度，不同直径钢丝允许采用相同或相邻公称抗拉强度，但应保证钢丝绳最小破断拉力符合GB/T 8918-2006有关要求。</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4.镀锌钢丝绳的所有钢丝都应镀锌，符合MT/T 716-2019 B级镀锌标准</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采用拉拔镀锌的工艺，保证锌层均匀、不脱落，在正常的使用条件下，锈蚀不超过规定，同时保证钢丝的强度和韧性。</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lang w:val="en-US" w:eastAsia="zh-CN"/>
        </w:rPr>
        <w:t>5.钢丝绳不得出现</w:t>
      </w:r>
      <w:r>
        <w:rPr>
          <w:rFonts w:hint="eastAsia" w:ascii="仿宋_GB2312" w:hAnsi="宋体" w:eastAsia="仿宋_GB2312" w:cs="仿宋_GB2312"/>
          <w:color w:val="auto"/>
          <w:sz w:val="32"/>
          <w:szCs w:val="32"/>
        </w:rPr>
        <w:t>MT</w:t>
      </w:r>
      <w:r>
        <w:rPr>
          <w:rFonts w:hint="eastAsia" w:ascii="仿宋_GB2312" w:hAnsi="宋体" w:eastAsia="仿宋_GB2312" w:cs="仿宋_GB2312"/>
          <w:color w:val="auto"/>
          <w:sz w:val="32"/>
          <w:szCs w:val="32"/>
          <w:lang w:val="en-US" w:eastAsia="zh-CN"/>
        </w:rPr>
        <w:t xml:space="preserve">/T </w:t>
      </w:r>
      <w:r>
        <w:rPr>
          <w:rFonts w:hint="eastAsia" w:ascii="仿宋_GB2312" w:hAnsi="宋体" w:eastAsia="仿宋_GB2312" w:cs="仿宋_GB2312"/>
          <w:color w:val="auto"/>
          <w:sz w:val="32"/>
          <w:szCs w:val="32"/>
        </w:rPr>
        <w:t>716</w:t>
      </w:r>
      <w:r>
        <w:rPr>
          <w:rFonts w:hint="eastAsia" w:ascii="仿宋_GB2312" w:hAnsi="宋体" w:eastAsia="仿宋_GB2312" w:cs="仿宋_GB2312"/>
          <w:color w:val="auto"/>
          <w:sz w:val="32"/>
          <w:szCs w:val="32"/>
          <w:highlight w:val="none"/>
        </w:rPr>
        <w:t>-2019</w:t>
      </w:r>
      <w:r>
        <w:rPr>
          <w:rFonts w:hint="eastAsia" w:ascii="仿宋_GB2312" w:hAnsi="宋体" w:eastAsia="仿宋_GB2312" w:cs="仿宋_GB2312"/>
          <w:color w:val="auto"/>
          <w:sz w:val="32"/>
          <w:szCs w:val="32"/>
        </w:rPr>
        <w:t>规定</w:t>
      </w:r>
      <w:r>
        <w:rPr>
          <w:rFonts w:hint="eastAsia" w:ascii="仿宋_GB2312" w:hAnsi="宋体" w:eastAsia="仿宋_GB2312" w:cs="仿宋_GB2312"/>
          <w:color w:val="auto"/>
          <w:sz w:val="32"/>
          <w:szCs w:val="32"/>
          <w:lang w:val="en-US" w:eastAsia="zh-CN"/>
        </w:rPr>
        <w:t>的外观缺陷；在</w:t>
      </w:r>
      <w:r>
        <w:rPr>
          <w:rFonts w:hint="eastAsia" w:ascii="仿宋_GB2312" w:hAnsi="宋体" w:eastAsia="仿宋_GB2312" w:cs="仿宋_GB2312"/>
          <w:color w:val="auto"/>
          <w:sz w:val="32"/>
          <w:szCs w:val="32"/>
        </w:rPr>
        <w:t>正常使用情况下</w:t>
      </w:r>
      <w:r>
        <w:rPr>
          <w:rFonts w:hint="eastAsia" w:ascii="仿宋_GB2312" w:hAnsi="宋体" w:eastAsia="仿宋_GB2312" w:cs="仿宋_GB2312"/>
          <w:color w:val="auto"/>
          <w:sz w:val="32"/>
          <w:szCs w:val="32"/>
          <w:lang w:eastAsia="zh-CN"/>
        </w:rPr>
        <w:t>，</w:t>
      </w:r>
      <w:r>
        <w:rPr>
          <w:rFonts w:hint="eastAsia" w:ascii="仿宋_GB2312" w:hAnsi="宋体" w:eastAsia="仿宋_GB2312" w:cs="仿宋_GB2312"/>
          <w:color w:val="auto"/>
          <w:sz w:val="32"/>
          <w:szCs w:val="32"/>
        </w:rPr>
        <w:t>断丝不能超过</w:t>
      </w:r>
      <w:r>
        <w:rPr>
          <w:rFonts w:hint="eastAsia" w:ascii="仿宋_GB2312" w:hAnsi="宋体" w:eastAsia="仿宋_GB2312" w:cs="仿宋_GB2312"/>
          <w:color w:val="auto"/>
          <w:sz w:val="32"/>
          <w:szCs w:val="32"/>
          <w:lang w:eastAsia="zh-CN"/>
        </w:rPr>
        <w:t>《</w:t>
      </w:r>
      <w:r>
        <w:rPr>
          <w:rFonts w:hint="eastAsia" w:ascii="仿宋_GB2312" w:hAnsi="宋体" w:eastAsia="仿宋_GB2312" w:cs="仿宋_GB2312"/>
          <w:color w:val="auto"/>
          <w:sz w:val="32"/>
          <w:szCs w:val="32"/>
        </w:rPr>
        <w:t>煤矿安全规程》</w:t>
      </w:r>
      <w:r>
        <w:rPr>
          <w:rFonts w:hint="eastAsia" w:ascii="仿宋_GB2312" w:hAnsi="仿宋_GB2312" w:eastAsia="仿宋_GB2312" w:cs="仿宋_GB2312"/>
          <w:color w:val="auto"/>
          <w:sz w:val="32"/>
          <w:szCs w:val="32"/>
          <w:highlight w:val="none"/>
          <w:lang w:val="en-US" w:eastAsia="zh-CN"/>
        </w:rPr>
        <w:t>（2025版）相关</w:t>
      </w:r>
      <w:r>
        <w:rPr>
          <w:rFonts w:hint="eastAsia" w:ascii="仿宋_GB2312" w:hAnsi="宋体" w:eastAsia="仿宋_GB2312" w:cs="仿宋_GB2312"/>
          <w:color w:val="auto"/>
          <w:sz w:val="32"/>
          <w:szCs w:val="32"/>
        </w:rPr>
        <w:t>规定要求。</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宋体" w:eastAsia="仿宋_GB2312" w:cs="仿宋_GB2312"/>
          <w:color w:val="auto"/>
          <w:sz w:val="32"/>
          <w:szCs w:val="32"/>
          <w:lang w:val="en-US" w:eastAsia="zh-CN"/>
        </w:rPr>
      </w:pPr>
      <w:r>
        <w:rPr>
          <w:rFonts w:hint="eastAsia" w:ascii="仿宋_GB2312" w:hAnsi="宋体" w:eastAsia="仿宋_GB2312" w:cs="仿宋_GB2312"/>
          <w:color w:val="auto"/>
          <w:sz w:val="32"/>
          <w:szCs w:val="32"/>
          <w:lang w:val="en-US" w:eastAsia="zh-CN"/>
        </w:rPr>
        <w:t>6</w:t>
      </w:r>
      <w:r>
        <w:rPr>
          <w:rFonts w:hint="eastAsia" w:ascii="仿宋_GB2312" w:hAnsi="宋体" w:eastAsia="仿宋_GB2312" w:cs="仿宋_GB2312"/>
          <w:color w:val="auto"/>
          <w:sz w:val="32"/>
          <w:szCs w:val="32"/>
        </w:rPr>
        <w:t>.钢丝绳伸</w:t>
      </w:r>
      <w:r>
        <w:rPr>
          <w:rFonts w:hint="eastAsia" w:ascii="仿宋_GB2312" w:hAnsi="宋体" w:eastAsia="仿宋_GB2312" w:cs="仿宋_GB2312"/>
          <w:color w:val="auto"/>
          <w:sz w:val="32"/>
          <w:szCs w:val="32"/>
          <w:lang w:val="en-US" w:eastAsia="zh-CN"/>
        </w:rPr>
        <w:t>长率：初次加额定载荷结构伸长率不大于0.20%，钢丝绳整绳永久塑性伸长不大于0.30%。</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宋体" w:eastAsia="仿宋_GB2312" w:cs="仿宋_GB2312"/>
          <w:color w:val="auto"/>
          <w:sz w:val="32"/>
          <w:szCs w:val="32"/>
          <w:lang w:val="en-US" w:eastAsia="zh-CN"/>
        </w:rPr>
      </w:pPr>
      <w:r>
        <w:rPr>
          <w:rFonts w:hint="eastAsia" w:ascii="仿宋_GB2312" w:hAnsi="宋体" w:eastAsia="仿宋_GB2312" w:cs="仿宋_GB2312"/>
          <w:color w:val="auto"/>
          <w:sz w:val="32"/>
          <w:szCs w:val="32"/>
          <w:lang w:val="en-US" w:eastAsia="zh-CN"/>
        </w:rPr>
        <w:t>7.钢丝绳的实测直径偏差：0～+5%，钢丝绳的不圆度不得大于钢丝绳公称直径的4%。</w:t>
      </w:r>
    </w:p>
    <w:p>
      <w:pPr>
        <w:spacing w:line="560" w:lineRule="exact"/>
        <w:ind w:firstLine="640" w:firstLineChars="200"/>
        <w:rPr>
          <w:rFonts w:hint="default" w:ascii="仿宋_GB2312" w:hAnsi="宋体" w:eastAsia="仿宋_GB2312" w:cs="仿宋_GB2312"/>
          <w:color w:val="auto"/>
          <w:sz w:val="32"/>
          <w:szCs w:val="32"/>
          <w:lang w:val="en-US" w:eastAsia="zh-CN"/>
        </w:rPr>
      </w:pPr>
      <w:r>
        <w:rPr>
          <w:rFonts w:hint="eastAsia" w:ascii="仿宋_GB2312" w:hAnsi="宋体" w:eastAsia="仿宋_GB2312" w:cs="仿宋_GB2312"/>
          <w:color w:val="auto"/>
          <w:sz w:val="32"/>
          <w:szCs w:val="32"/>
          <w:lang w:val="en-US" w:eastAsia="zh-CN"/>
        </w:rPr>
        <w:t>8.钢丝绳的实测长度在无负荷状态下允许与订货长度偏差0～+20m。</w:t>
      </w:r>
    </w:p>
    <w:p>
      <w:pPr>
        <w:spacing w:line="560" w:lineRule="exact"/>
        <w:ind w:firstLine="640" w:firstLineChars="200"/>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lang w:val="en-US" w:eastAsia="zh-CN"/>
        </w:rPr>
        <w:t>9.</w:t>
      </w:r>
      <w:r>
        <w:rPr>
          <w:rFonts w:hint="eastAsia" w:ascii="仿宋_GB2312" w:hAnsi="宋体" w:eastAsia="仿宋_GB2312" w:cs="仿宋_GB2312"/>
          <w:color w:val="auto"/>
          <w:sz w:val="32"/>
          <w:szCs w:val="32"/>
        </w:rPr>
        <w:t>钢丝绳</w:t>
      </w:r>
      <w:r>
        <w:rPr>
          <w:rFonts w:hint="eastAsia" w:ascii="仿宋_GB2312" w:hAnsi="宋体" w:eastAsia="仿宋_GB2312" w:cs="仿宋_GB2312"/>
          <w:color w:val="auto"/>
          <w:sz w:val="32"/>
          <w:szCs w:val="32"/>
          <w:lang w:val="en-US" w:eastAsia="zh-CN"/>
        </w:rPr>
        <w:t>的</w:t>
      </w:r>
      <w:r>
        <w:rPr>
          <w:rFonts w:hint="eastAsia" w:ascii="仿宋_GB2312" w:hAnsi="宋体" w:eastAsia="仿宋_GB2312" w:cs="仿宋_GB2312"/>
          <w:color w:val="auto"/>
          <w:sz w:val="32"/>
          <w:szCs w:val="32"/>
        </w:rPr>
        <w:t>实</w:t>
      </w:r>
      <w:r>
        <w:rPr>
          <w:rFonts w:hint="eastAsia" w:ascii="仿宋_GB2312" w:hAnsi="宋体" w:eastAsia="仿宋_GB2312" w:cs="仿宋_GB2312"/>
          <w:color w:val="auto"/>
          <w:sz w:val="32"/>
          <w:szCs w:val="32"/>
          <w:lang w:val="en-US" w:eastAsia="zh-CN"/>
        </w:rPr>
        <w:t>测</w:t>
      </w:r>
      <w:r>
        <w:rPr>
          <w:rFonts w:hint="eastAsia" w:ascii="仿宋_GB2312" w:hAnsi="宋体" w:eastAsia="仿宋_GB2312" w:cs="仿宋_GB2312"/>
          <w:color w:val="auto"/>
          <w:sz w:val="32"/>
          <w:szCs w:val="32"/>
        </w:rPr>
        <w:t>重量偏差</w:t>
      </w:r>
      <w:r>
        <w:rPr>
          <w:rFonts w:hint="eastAsia" w:ascii="仿宋_GB2312" w:hAnsi="宋体" w:eastAsia="仿宋_GB2312" w:cs="仿宋_GB2312"/>
          <w:color w:val="auto"/>
          <w:sz w:val="32"/>
          <w:szCs w:val="32"/>
          <w:lang w:eastAsia="zh-CN"/>
        </w:rPr>
        <w:t>：</w:t>
      </w:r>
      <w:r>
        <w:rPr>
          <w:rFonts w:hint="eastAsia" w:ascii="仿宋_GB2312" w:hAnsi="宋体" w:eastAsia="仿宋_GB2312" w:cs="仿宋_GB2312"/>
          <w:color w:val="auto"/>
          <w:sz w:val="32"/>
          <w:szCs w:val="32"/>
        </w:rPr>
        <w:t>-2%～+5%。</w:t>
      </w:r>
    </w:p>
    <w:p>
      <w:pPr>
        <w:spacing w:line="560" w:lineRule="exact"/>
        <w:ind w:firstLine="640" w:firstLineChars="200"/>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lang w:val="en-US" w:eastAsia="zh-CN"/>
        </w:rPr>
        <w:t>10</w:t>
      </w:r>
      <w:r>
        <w:rPr>
          <w:rFonts w:hint="eastAsia" w:ascii="仿宋_GB2312" w:hAnsi="宋体" w:eastAsia="仿宋_GB2312" w:cs="仿宋_GB2312"/>
          <w:color w:val="auto"/>
          <w:sz w:val="32"/>
          <w:szCs w:val="32"/>
        </w:rPr>
        <w:t>.钢丝绳注油要求：</w:t>
      </w:r>
    </w:p>
    <w:p>
      <w:pPr>
        <w:spacing w:line="560" w:lineRule="exact"/>
        <w:ind w:firstLine="640" w:firstLineChars="200"/>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lang w:val="en-US" w:eastAsia="zh-CN"/>
        </w:rPr>
        <w:t>10</w:t>
      </w:r>
      <w:r>
        <w:rPr>
          <w:rFonts w:hint="eastAsia" w:ascii="仿宋_GB2312" w:hAnsi="宋体" w:eastAsia="仿宋_GB2312" w:cs="仿宋_GB2312"/>
          <w:color w:val="auto"/>
          <w:sz w:val="32"/>
          <w:szCs w:val="32"/>
        </w:rPr>
        <w:t>.</w:t>
      </w:r>
      <w:r>
        <w:rPr>
          <w:rFonts w:hint="eastAsia" w:ascii="仿宋_GB2312" w:hAnsi="宋体" w:eastAsia="仿宋_GB2312" w:cs="仿宋_GB2312"/>
          <w:color w:val="auto"/>
          <w:sz w:val="32"/>
          <w:szCs w:val="32"/>
          <w:lang w:val="en-US" w:eastAsia="zh-CN"/>
        </w:rPr>
        <w:t>1</w:t>
      </w:r>
      <w:r>
        <w:rPr>
          <w:rFonts w:hint="eastAsia" w:ascii="仿宋_GB2312" w:hAnsi="宋体" w:eastAsia="仿宋_GB2312" w:cs="仿宋_GB2312"/>
          <w:color w:val="auto"/>
          <w:sz w:val="32"/>
          <w:szCs w:val="32"/>
        </w:rPr>
        <w:t>钢丝绳注油采用加温、高压压注工艺。</w:t>
      </w:r>
    </w:p>
    <w:p>
      <w:pPr>
        <w:spacing w:line="560" w:lineRule="exact"/>
        <w:ind w:firstLine="640" w:firstLineChars="200"/>
        <w:rPr>
          <w:rFonts w:hint="eastAsia" w:ascii="仿宋_GB2312" w:hAnsi="宋体" w:eastAsia="仿宋_GB2312" w:cs="仿宋_GB2312"/>
          <w:color w:val="auto"/>
          <w:sz w:val="32"/>
          <w:szCs w:val="32"/>
          <w:lang w:eastAsia="zh-CN"/>
        </w:rPr>
      </w:pPr>
      <w:r>
        <w:rPr>
          <w:rFonts w:hint="eastAsia" w:ascii="仿宋_GB2312" w:hAnsi="宋体" w:eastAsia="仿宋_GB2312" w:cs="仿宋_GB2312"/>
          <w:color w:val="auto"/>
          <w:sz w:val="32"/>
          <w:szCs w:val="32"/>
          <w:lang w:val="en-US" w:eastAsia="zh-CN"/>
        </w:rPr>
        <w:t>10</w:t>
      </w:r>
      <w:r>
        <w:rPr>
          <w:rFonts w:hint="eastAsia" w:ascii="仿宋_GB2312" w:hAnsi="宋体" w:eastAsia="仿宋_GB2312" w:cs="仿宋_GB2312"/>
          <w:color w:val="auto"/>
          <w:sz w:val="32"/>
          <w:szCs w:val="32"/>
        </w:rPr>
        <w:t>.</w:t>
      </w:r>
      <w:r>
        <w:rPr>
          <w:rFonts w:hint="eastAsia" w:ascii="仿宋_GB2312" w:hAnsi="宋体" w:eastAsia="仿宋_GB2312" w:cs="仿宋_GB2312"/>
          <w:color w:val="auto"/>
          <w:sz w:val="32"/>
          <w:szCs w:val="32"/>
          <w:lang w:val="en-US" w:eastAsia="zh-CN"/>
        </w:rPr>
        <w:t>2</w:t>
      </w:r>
      <w:r>
        <w:rPr>
          <w:rFonts w:hint="eastAsia" w:ascii="仿宋_GB2312" w:hAnsi="宋体" w:eastAsia="仿宋_GB2312" w:cs="仿宋_GB2312"/>
          <w:color w:val="auto"/>
          <w:sz w:val="32"/>
          <w:szCs w:val="32"/>
        </w:rPr>
        <w:t>钢丝绳挂绳后在提升机设计速度下运行不甩油</w:t>
      </w:r>
      <w:r>
        <w:rPr>
          <w:rFonts w:hint="eastAsia" w:ascii="仿宋_GB2312" w:hAnsi="宋体" w:eastAsia="仿宋_GB2312" w:cs="仿宋_GB2312"/>
          <w:color w:val="auto"/>
          <w:sz w:val="32"/>
          <w:szCs w:val="32"/>
          <w:lang w:eastAsia="zh-CN"/>
        </w:rPr>
        <w:t>。</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11.在正常使用和维护条件下，钢丝绳的使用寿命不低于24个月。使用24个月时，钢丝绳的各项指标均不得超过《煤矿安全规程》（2025版）相关</w:t>
      </w:r>
      <w:r>
        <w:rPr>
          <w:rFonts w:hint="eastAsia" w:ascii="仿宋_GB2312" w:hAnsi="宋体" w:eastAsia="仿宋_GB2312" w:cs="仿宋_GB2312"/>
          <w:color w:val="auto"/>
          <w:sz w:val="32"/>
          <w:szCs w:val="32"/>
        </w:rPr>
        <w:t>规定要求</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12.同时供货的同一套钢丝绳应为厂家同批生产的钢丝绳，且同一套钢丝绳中同一捻向的两根钢丝绳必须为同一根钢丝绳截成的两段。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13.钢丝绳出厂时必须做整绳破断拉力试验。</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14.投标时所投产品必须具有矿用产品安全标志证书。</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四、质量保证、验收标准及随机资料</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宋体" w:eastAsia="仿宋_GB2312" w:cs="仿宋_GB2312"/>
          <w:color w:val="auto"/>
          <w:sz w:val="32"/>
          <w:szCs w:val="32"/>
          <w:lang w:val="en-US" w:eastAsia="zh-CN"/>
        </w:rPr>
      </w:pPr>
      <w:r>
        <w:rPr>
          <w:rFonts w:hint="eastAsia" w:ascii="仿宋_GB2312" w:hAnsi="宋体" w:eastAsia="仿宋_GB2312" w:cs="仿宋_GB2312"/>
          <w:color w:val="auto"/>
          <w:sz w:val="32"/>
          <w:szCs w:val="32"/>
          <w:lang w:val="en-US" w:eastAsia="zh-CN"/>
        </w:rPr>
        <w:t>1.钢丝绳质量符合</w:t>
      </w:r>
      <w:r>
        <w:rPr>
          <w:rFonts w:hint="eastAsia" w:ascii="仿宋_GB2312" w:hAnsi="宋体" w:eastAsia="仿宋_GB2312" w:cs="仿宋_GB2312"/>
          <w:color w:val="auto"/>
          <w:sz w:val="32"/>
          <w:szCs w:val="32"/>
        </w:rPr>
        <w:t>中国国家标准GB/T 8918-2006及煤炭行业MT/T 716-2019标准</w:t>
      </w:r>
      <w:r>
        <w:rPr>
          <w:rFonts w:hint="eastAsia" w:ascii="仿宋_GB2312" w:hAnsi="宋体" w:eastAsia="仿宋_GB2312" w:cs="仿宋_GB2312"/>
          <w:color w:val="auto"/>
          <w:sz w:val="32"/>
          <w:szCs w:val="32"/>
          <w:lang w:val="en-US" w:eastAsia="zh-CN"/>
        </w:rPr>
        <w:t>要求。</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黑体" w:hAnsi="黑体" w:eastAsia="黑体" w:cs="黑体"/>
          <w:b w:val="0"/>
          <w:bCs w:val="0"/>
          <w:color w:val="auto"/>
          <w:sz w:val="32"/>
          <w:szCs w:val="32"/>
          <w:lang w:val="en-US" w:eastAsia="zh-CN"/>
        </w:rPr>
      </w:pPr>
      <w:r>
        <w:rPr>
          <w:rFonts w:hint="eastAsia" w:ascii="仿宋_GB2312" w:hAnsi="宋体" w:eastAsia="仿宋_GB2312" w:cs="仿宋_GB2312"/>
          <w:color w:val="auto"/>
          <w:sz w:val="32"/>
          <w:szCs w:val="32"/>
          <w:lang w:val="en-US" w:eastAsia="zh-CN"/>
        </w:rPr>
        <w:t>2.</w:t>
      </w:r>
      <w:r>
        <w:rPr>
          <w:rFonts w:hint="eastAsia" w:ascii="仿宋_GB2312" w:hAnsi="宋体" w:eastAsia="仿宋_GB2312" w:cs="仿宋_GB2312"/>
          <w:color w:val="auto"/>
          <w:sz w:val="32"/>
          <w:szCs w:val="32"/>
        </w:rPr>
        <w:t>验收和检验执行标准：MT/T716-2019</w:t>
      </w:r>
      <w:r>
        <w:rPr>
          <w:rFonts w:hint="eastAsia" w:ascii="仿宋_GB2312" w:hAnsi="宋体" w:eastAsia="仿宋_GB2312" w:cs="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lang w:val="en-US" w:eastAsia="zh-CN"/>
        </w:rPr>
        <w:t>3</w:t>
      </w:r>
      <w:r>
        <w:rPr>
          <w:rFonts w:hint="eastAsia" w:ascii="仿宋_GB2312" w:hAnsi="宋体" w:eastAsia="仿宋_GB2312" w:cs="仿宋_GB2312"/>
          <w:color w:val="auto"/>
          <w:sz w:val="32"/>
          <w:szCs w:val="32"/>
        </w:rPr>
        <w:t>.所供应的产品必须提供</w:t>
      </w:r>
      <w:r>
        <w:rPr>
          <w:rFonts w:hint="eastAsia" w:ascii="仿宋_GB2312" w:hAnsi="宋体" w:eastAsia="仿宋_GB2312" w:cs="仿宋_GB2312"/>
          <w:color w:val="auto"/>
          <w:sz w:val="32"/>
          <w:szCs w:val="32"/>
          <w:lang w:val="en-US" w:eastAsia="zh-CN"/>
        </w:rPr>
        <w:t>出</w:t>
      </w:r>
      <w:r>
        <w:rPr>
          <w:rFonts w:hint="eastAsia" w:ascii="仿宋_GB2312" w:hAnsi="宋体" w:eastAsia="仿宋_GB2312" w:cs="仿宋_GB2312"/>
          <w:color w:val="auto"/>
          <w:sz w:val="32"/>
          <w:szCs w:val="32"/>
        </w:rPr>
        <w:t>厂检验证明</w:t>
      </w:r>
      <w:r>
        <w:rPr>
          <w:rFonts w:hint="eastAsia" w:ascii="仿宋_GB2312" w:hAnsi="宋体" w:eastAsia="仿宋_GB2312" w:cs="仿宋_GB2312"/>
          <w:color w:val="auto"/>
          <w:sz w:val="32"/>
          <w:szCs w:val="32"/>
          <w:lang w:val="en-US" w:eastAsia="zh-CN"/>
        </w:rPr>
        <w:t>、</w:t>
      </w:r>
      <w:r>
        <w:rPr>
          <w:rFonts w:hint="eastAsia" w:ascii="仿宋_GB2312" w:hAnsi="宋体" w:eastAsia="仿宋_GB2312" w:cs="仿宋_GB2312"/>
          <w:color w:val="auto"/>
          <w:sz w:val="32"/>
          <w:szCs w:val="32"/>
        </w:rPr>
        <w:t>钢丝绳原产地证明书</w:t>
      </w:r>
      <w:r>
        <w:rPr>
          <w:rFonts w:hint="eastAsia" w:ascii="仿宋_GB2312" w:hAnsi="宋体" w:eastAsia="仿宋_GB2312" w:cs="仿宋_GB2312"/>
          <w:color w:val="auto"/>
          <w:sz w:val="32"/>
          <w:szCs w:val="32"/>
          <w:lang w:eastAsia="zh-CN"/>
        </w:rPr>
        <w:t>、</w:t>
      </w:r>
      <w:r>
        <w:rPr>
          <w:rFonts w:hint="eastAsia" w:ascii="仿宋_GB2312" w:hAnsi="宋体" w:eastAsia="仿宋_GB2312" w:cs="仿宋_GB2312"/>
          <w:color w:val="auto"/>
          <w:sz w:val="32"/>
          <w:szCs w:val="32"/>
        </w:rPr>
        <w:t>商检证书</w:t>
      </w:r>
      <w:r>
        <w:rPr>
          <w:rFonts w:hint="eastAsia" w:ascii="仿宋_GB2312" w:hAnsi="宋体" w:eastAsia="仿宋_GB2312" w:cs="仿宋_GB2312"/>
          <w:color w:val="auto"/>
          <w:sz w:val="32"/>
          <w:szCs w:val="32"/>
          <w:lang w:eastAsia="zh-CN"/>
        </w:rPr>
        <w:t>、</w:t>
      </w:r>
      <w:r>
        <w:rPr>
          <w:rFonts w:hint="eastAsia" w:ascii="仿宋_GB2312" w:hAnsi="宋体" w:eastAsia="仿宋_GB2312" w:cs="仿宋_GB2312"/>
          <w:color w:val="auto"/>
          <w:sz w:val="32"/>
          <w:szCs w:val="32"/>
        </w:rPr>
        <w:t>产品合格证、质量证明书、煤矿矿用产品安全标志（MA标志）等资料。</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五、“三包”要求</w:t>
      </w:r>
    </w:p>
    <w:p>
      <w:pPr>
        <w:spacing w:line="560" w:lineRule="exact"/>
        <w:ind w:firstLine="640" w:firstLineChars="200"/>
        <w:rPr>
          <w:rFonts w:ascii="仿宋_GB2312" w:hAnsi="宋体" w:eastAsia="仿宋_GB2312" w:cs="仿宋_GB2312"/>
          <w:color w:val="auto"/>
          <w:sz w:val="32"/>
          <w:szCs w:val="32"/>
        </w:rPr>
      </w:pPr>
      <w:r>
        <w:rPr>
          <w:rFonts w:hint="eastAsia" w:ascii="仿宋_GB2312" w:hAnsi="宋体" w:eastAsia="仿宋_GB2312" w:cs="仿宋_GB2312"/>
          <w:color w:val="auto"/>
          <w:sz w:val="32"/>
          <w:szCs w:val="32"/>
        </w:rPr>
        <w:t>除国家另有专门规定、招标文件有特殊要求或投标方有优惠条件外，提升钢丝绳使用后24个月内或货到验收后48个月内(以先到者为准),实行“三包”,钢丝绳的各项指标均不得超过《煤矿安全规程》</w:t>
      </w:r>
      <w:r>
        <w:rPr>
          <w:rFonts w:hint="eastAsia" w:ascii="仿宋_GB2312" w:hAnsi="仿宋_GB2312" w:eastAsia="仿宋_GB2312" w:cs="仿宋_GB2312"/>
          <w:color w:val="auto"/>
          <w:sz w:val="32"/>
          <w:szCs w:val="32"/>
          <w:highlight w:val="none"/>
          <w:lang w:val="en-US" w:eastAsia="zh-CN"/>
        </w:rPr>
        <w:t>（2025版）相关</w:t>
      </w:r>
      <w:r>
        <w:rPr>
          <w:rFonts w:hint="eastAsia" w:ascii="仿宋_GB2312" w:hAnsi="宋体" w:eastAsia="仿宋_GB2312" w:cs="仿宋_GB2312"/>
          <w:color w:val="auto"/>
          <w:sz w:val="32"/>
          <w:szCs w:val="32"/>
        </w:rPr>
        <w:t>规定要求。</w:t>
      </w:r>
    </w:p>
    <w:p>
      <w:pPr>
        <w:pStyle w:val="2"/>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color w:val="auto"/>
          <w:kern w:val="2"/>
          <w:sz w:val="32"/>
          <w:szCs w:val="32"/>
          <w:highlight w:val="none"/>
          <w:lang w:val="en-US" w:eastAsia="zh-CN" w:bidi="ar-SA"/>
        </w:rPr>
      </w:pPr>
      <w:r>
        <w:rPr>
          <w:rFonts w:hint="eastAsia" w:hAnsi="黑体" w:cs="黑体"/>
          <w:b w:val="0"/>
          <w:bCs w:val="0"/>
          <w:color w:val="auto"/>
          <w:kern w:val="2"/>
          <w:sz w:val="32"/>
          <w:szCs w:val="32"/>
          <w:highlight w:val="none"/>
          <w:lang w:val="en-US" w:eastAsia="zh-CN" w:bidi="ar-SA"/>
        </w:rPr>
        <w:t>六</w:t>
      </w:r>
      <w:r>
        <w:rPr>
          <w:rFonts w:hint="eastAsia" w:ascii="黑体" w:hAnsi="黑体" w:eastAsia="黑体" w:cs="黑体"/>
          <w:b w:val="0"/>
          <w:bCs w:val="0"/>
          <w:color w:val="auto"/>
          <w:kern w:val="2"/>
          <w:sz w:val="32"/>
          <w:szCs w:val="32"/>
          <w:highlight w:val="none"/>
          <w:lang w:val="en-US" w:eastAsia="zh-CN" w:bidi="ar-SA"/>
        </w:rPr>
        <w:t>、售后服务</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宋体" w:eastAsia="仿宋_GB2312" w:cs="仿宋_GB2312"/>
          <w:color w:val="auto"/>
          <w:sz w:val="32"/>
          <w:szCs w:val="32"/>
          <w:lang w:val="en-US" w:eastAsia="zh-CN"/>
        </w:rPr>
      </w:pPr>
      <w:r>
        <w:rPr>
          <w:rFonts w:hint="eastAsia" w:ascii="仿宋_GB2312" w:hAnsi="宋体" w:eastAsia="仿宋_GB2312" w:cs="仿宋_GB2312"/>
          <w:color w:val="auto"/>
          <w:sz w:val="32"/>
          <w:szCs w:val="32"/>
          <w:lang w:val="en-US" w:eastAsia="zh-CN"/>
        </w:rPr>
        <w:t>1.按投标书承诺及国家标准执行。</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lang w:val="en-US" w:eastAsia="zh-CN"/>
        </w:rPr>
        <w:t>2.</w:t>
      </w:r>
      <w:r>
        <w:rPr>
          <w:rFonts w:hint="eastAsia" w:ascii="仿宋_GB2312" w:hAnsi="宋体" w:eastAsia="仿宋_GB2312" w:cs="仿宋_GB2312"/>
          <w:color w:val="auto"/>
          <w:sz w:val="32"/>
          <w:szCs w:val="32"/>
        </w:rPr>
        <w:t>如有任何质量问题，在收到</w:t>
      </w:r>
      <w:r>
        <w:rPr>
          <w:rFonts w:hint="eastAsia" w:ascii="仿宋_GB2312" w:hAnsi="宋体" w:eastAsia="仿宋_GB2312" w:cs="仿宋_GB2312"/>
          <w:color w:val="auto"/>
          <w:sz w:val="32"/>
          <w:szCs w:val="32"/>
          <w:lang w:val="en-US" w:eastAsia="zh-CN"/>
        </w:rPr>
        <w:t>使用单位</w:t>
      </w:r>
      <w:r>
        <w:rPr>
          <w:rFonts w:hint="eastAsia" w:ascii="仿宋_GB2312" w:hAnsi="宋体" w:eastAsia="仿宋_GB2312" w:cs="仿宋_GB2312"/>
          <w:color w:val="auto"/>
          <w:sz w:val="32"/>
          <w:szCs w:val="32"/>
        </w:rPr>
        <w:t>通知后24小时内赶到现场处理。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七、包装、运输及储存</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rPr>
        <w:t>1.投标人必须按最新国家标准要求包装设计和提供合适的包装，确保其不受损坏。</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rPr>
        <w:t>2.物资的包装、防护要确保物资便于运输和储存，显著位置标明发货单位和地点等，并有包装储运标志。</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color w:val="auto"/>
          <w:kern w:val="2"/>
          <w:sz w:val="32"/>
          <w:szCs w:val="32"/>
          <w:highlight w:val="none"/>
          <w:lang w:val="en-US" w:eastAsia="zh-CN" w:bidi="ar-SA"/>
        </w:rPr>
      </w:pPr>
      <w:r>
        <w:rPr>
          <w:rFonts w:hint="eastAsia" w:ascii="黑体" w:hAnsi="黑体" w:eastAsia="黑体" w:cs="黑体"/>
          <w:b w:val="0"/>
          <w:bCs w:val="0"/>
          <w:color w:val="auto"/>
          <w:kern w:val="2"/>
          <w:sz w:val="32"/>
          <w:szCs w:val="32"/>
          <w:highlight w:val="none"/>
          <w:lang w:val="en-US" w:eastAsia="zh-CN" w:bidi="ar-SA"/>
        </w:rPr>
        <w:t>八、供货时间及地点</w:t>
      </w:r>
    </w:p>
    <w:p>
      <w:pPr>
        <w:spacing w:line="560" w:lineRule="exact"/>
        <w:ind w:firstLine="640" w:firstLineChars="200"/>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rPr>
        <w:t>期望交货期：</w:t>
      </w:r>
    </w:p>
    <w:p>
      <w:pPr>
        <w:spacing w:line="560" w:lineRule="exact"/>
        <w:ind w:firstLine="640" w:firstLineChars="200"/>
        <w:rPr>
          <w:rFonts w:hint="eastAsia" w:ascii="仿宋_GB2312" w:hAnsi="宋体" w:eastAsia="仿宋_GB2312" w:cs="仿宋_GB2312"/>
          <w:color w:val="auto"/>
          <w:sz w:val="32"/>
          <w:szCs w:val="32"/>
          <w:highlight w:val="none"/>
          <w:lang w:val="en-US" w:eastAsia="zh-CN"/>
        </w:rPr>
      </w:pPr>
      <w:r>
        <w:rPr>
          <w:rFonts w:hint="eastAsia" w:ascii="仿宋_GB2312" w:hAnsi="宋体" w:eastAsia="仿宋_GB2312" w:cs="仿宋_GB2312"/>
          <w:color w:val="auto"/>
          <w:sz w:val="32"/>
          <w:szCs w:val="32"/>
          <w:lang w:val="en-US" w:eastAsia="zh-CN"/>
        </w:rPr>
        <w:t>袁店一井主井：</w:t>
      </w:r>
      <w:r>
        <w:rPr>
          <w:rFonts w:hint="eastAsia" w:ascii="仿宋_GB2312" w:hAnsi="宋体" w:eastAsia="仿宋_GB2312" w:cs="仿宋_GB2312"/>
          <w:color w:val="auto"/>
          <w:sz w:val="32"/>
          <w:szCs w:val="32"/>
        </w:rPr>
        <w:t>202</w:t>
      </w:r>
      <w:r>
        <w:rPr>
          <w:rFonts w:hint="eastAsia" w:ascii="仿宋_GB2312" w:hAnsi="宋体" w:eastAsia="仿宋_GB2312" w:cs="仿宋_GB2312"/>
          <w:color w:val="auto"/>
          <w:sz w:val="32"/>
          <w:szCs w:val="32"/>
          <w:lang w:val="en-US" w:eastAsia="zh-CN"/>
        </w:rPr>
        <w:t>6</w:t>
      </w:r>
      <w:r>
        <w:rPr>
          <w:rFonts w:hint="eastAsia" w:ascii="仿宋_GB2312" w:hAnsi="宋体" w:eastAsia="仿宋_GB2312" w:cs="仿宋_GB2312"/>
          <w:color w:val="auto"/>
          <w:sz w:val="32"/>
          <w:szCs w:val="32"/>
        </w:rPr>
        <w:t>年</w:t>
      </w:r>
      <w:r>
        <w:rPr>
          <w:rFonts w:hint="eastAsia" w:ascii="仿宋_GB2312" w:hAnsi="宋体" w:eastAsia="仿宋_GB2312" w:cs="仿宋_GB2312"/>
          <w:color w:val="auto"/>
          <w:sz w:val="32"/>
          <w:szCs w:val="32"/>
          <w:lang w:val="en-US" w:eastAsia="zh-CN"/>
        </w:rPr>
        <w:t>10月30日</w:t>
      </w:r>
      <w:r>
        <w:rPr>
          <w:rFonts w:hint="eastAsia" w:ascii="仿宋_GB2312" w:hAnsi="宋体" w:eastAsia="仿宋_GB2312" w:cs="仿宋_GB2312"/>
          <w:color w:val="auto"/>
          <w:sz w:val="32"/>
          <w:szCs w:val="32"/>
          <w:highlight w:val="none"/>
          <w:lang w:val="en-US" w:eastAsia="zh-CN"/>
        </w:rPr>
        <w:t>前。</w:t>
      </w:r>
    </w:p>
    <w:p>
      <w:pPr>
        <w:spacing w:line="560" w:lineRule="exact"/>
        <w:ind w:firstLine="640" w:firstLineChars="200"/>
        <w:rPr>
          <w:rFonts w:hint="eastAsia" w:ascii="仿宋_GB2312" w:hAnsi="宋体" w:eastAsia="仿宋_GB2312" w:cs="仿宋_GB2312"/>
          <w:color w:val="auto"/>
          <w:sz w:val="32"/>
          <w:szCs w:val="32"/>
          <w:highlight w:val="none"/>
          <w:lang w:val="en-US" w:eastAsia="zh-CN"/>
        </w:rPr>
      </w:pPr>
      <w:r>
        <w:rPr>
          <w:rFonts w:hint="eastAsia" w:ascii="仿宋_GB2312" w:hAnsi="宋体" w:eastAsia="仿宋_GB2312" w:cs="仿宋_GB2312"/>
          <w:color w:val="auto"/>
          <w:sz w:val="32"/>
          <w:szCs w:val="32"/>
          <w:lang w:val="en-US" w:eastAsia="zh-CN"/>
        </w:rPr>
        <w:t>袁店一井副井：</w:t>
      </w:r>
      <w:r>
        <w:rPr>
          <w:rFonts w:hint="eastAsia" w:ascii="仿宋_GB2312" w:hAnsi="宋体" w:eastAsia="仿宋_GB2312" w:cs="仿宋_GB2312"/>
          <w:color w:val="auto"/>
          <w:sz w:val="32"/>
          <w:szCs w:val="32"/>
          <w:highlight w:val="none"/>
        </w:rPr>
        <w:t>202</w:t>
      </w:r>
      <w:r>
        <w:rPr>
          <w:rFonts w:hint="eastAsia" w:ascii="仿宋_GB2312" w:hAnsi="宋体" w:eastAsia="仿宋_GB2312" w:cs="仿宋_GB2312"/>
          <w:color w:val="auto"/>
          <w:sz w:val="32"/>
          <w:szCs w:val="32"/>
          <w:highlight w:val="none"/>
          <w:lang w:val="en-US" w:eastAsia="zh-CN"/>
        </w:rPr>
        <w:t>7</w:t>
      </w:r>
      <w:r>
        <w:rPr>
          <w:rFonts w:hint="eastAsia" w:ascii="仿宋_GB2312" w:hAnsi="宋体" w:eastAsia="仿宋_GB2312" w:cs="仿宋_GB2312"/>
          <w:color w:val="auto"/>
          <w:sz w:val="32"/>
          <w:szCs w:val="32"/>
          <w:highlight w:val="none"/>
        </w:rPr>
        <w:t>年</w:t>
      </w:r>
      <w:r>
        <w:rPr>
          <w:rFonts w:hint="eastAsia" w:ascii="仿宋_GB2312" w:hAnsi="宋体" w:eastAsia="仿宋_GB2312" w:cs="仿宋_GB2312"/>
          <w:color w:val="auto"/>
          <w:sz w:val="32"/>
          <w:szCs w:val="32"/>
          <w:highlight w:val="none"/>
          <w:lang w:val="en-US" w:eastAsia="zh-CN"/>
        </w:rPr>
        <w:t>6</w:t>
      </w:r>
      <w:r>
        <w:rPr>
          <w:rFonts w:hint="eastAsia" w:ascii="仿宋_GB2312" w:hAnsi="宋体" w:eastAsia="仿宋_GB2312" w:cs="仿宋_GB2312"/>
          <w:color w:val="auto"/>
          <w:sz w:val="32"/>
          <w:szCs w:val="32"/>
          <w:highlight w:val="none"/>
        </w:rPr>
        <w:t>月</w:t>
      </w:r>
      <w:r>
        <w:rPr>
          <w:rFonts w:hint="eastAsia" w:ascii="仿宋_GB2312" w:hAnsi="宋体" w:eastAsia="仿宋_GB2312" w:cs="仿宋_GB2312"/>
          <w:color w:val="auto"/>
          <w:sz w:val="32"/>
          <w:szCs w:val="32"/>
          <w:highlight w:val="none"/>
          <w:lang w:val="en-US" w:eastAsia="zh-CN"/>
        </w:rPr>
        <w:t>30日前。</w:t>
      </w:r>
    </w:p>
    <w:p>
      <w:pPr>
        <w:spacing w:line="560" w:lineRule="exact"/>
        <w:ind w:firstLine="640" w:firstLineChars="200"/>
        <w:rPr>
          <w:rFonts w:hint="default" w:ascii="仿宋_GB2312" w:hAnsi="宋体" w:eastAsia="仿宋_GB2312" w:cs="仿宋_GB2312"/>
          <w:color w:val="auto"/>
          <w:sz w:val="32"/>
          <w:szCs w:val="32"/>
          <w:lang w:val="en-US" w:eastAsia="zh-CN"/>
        </w:rPr>
      </w:pPr>
      <w:r>
        <w:rPr>
          <w:rFonts w:hint="eastAsia" w:ascii="仿宋_GB2312" w:hAnsi="宋体" w:eastAsia="仿宋_GB2312" w:cs="仿宋_GB2312"/>
          <w:color w:val="auto"/>
          <w:sz w:val="32"/>
          <w:szCs w:val="32"/>
          <w:lang w:val="en-US" w:eastAsia="zh-CN"/>
        </w:rPr>
        <w:t xml:space="preserve">杨柳副井：    </w:t>
      </w:r>
      <w:r>
        <w:rPr>
          <w:rFonts w:hint="eastAsia" w:ascii="仿宋_GB2312" w:hAnsi="宋体" w:eastAsia="仿宋_GB2312" w:cs="仿宋_GB2312"/>
          <w:color w:val="auto"/>
          <w:sz w:val="32"/>
          <w:szCs w:val="32"/>
        </w:rPr>
        <w:t>202</w:t>
      </w:r>
      <w:r>
        <w:rPr>
          <w:rFonts w:hint="eastAsia" w:ascii="仿宋_GB2312" w:hAnsi="宋体" w:eastAsia="仿宋_GB2312" w:cs="仿宋_GB2312"/>
          <w:color w:val="auto"/>
          <w:sz w:val="32"/>
          <w:szCs w:val="32"/>
          <w:lang w:val="en-US" w:eastAsia="zh-CN"/>
        </w:rPr>
        <w:t>6</w:t>
      </w:r>
      <w:r>
        <w:rPr>
          <w:rFonts w:hint="eastAsia" w:ascii="仿宋_GB2312" w:hAnsi="宋体" w:eastAsia="仿宋_GB2312" w:cs="仿宋_GB2312"/>
          <w:color w:val="auto"/>
          <w:sz w:val="32"/>
          <w:szCs w:val="32"/>
        </w:rPr>
        <w:t>年</w:t>
      </w:r>
      <w:r>
        <w:rPr>
          <w:rFonts w:hint="eastAsia" w:ascii="仿宋_GB2312" w:hAnsi="宋体" w:eastAsia="仿宋_GB2312" w:cs="仿宋_GB2312"/>
          <w:color w:val="auto"/>
          <w:sz w:val="32"/>
          <w:szCs w:val="32"/>
          <w:lang w:val="en-US" w:eastAsia="zh-CN"/>
        </w:rPr>
        <w:t>10月30日前。</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宋体" w:eastAsia="仿宋_GB2312" w:cs="仿宋_GB2312"/>
          <w:color w:val="auto"/>
          <w:sz w:val="32"/>
          <w:szCs w:val="32"/>
        </w:rPr>
      </w:pPr>
      <w:r>
        <w:rPr>
          <w:rFonts w:hint="eastAsia" w:ascii="仿宋_GB2312" w:hAnsi="仿宋_GB2312" w:eastAsia="仿宋_GB2312" w:cs="仿宋_GB2312"/>
          <w:color w:val="auto"/>
          <w:sz w:val="32"/>
          <w:szCs w:val="32"/>
          <w:highlight w:val="none"/>
          <w:lang w:val="en-US" w:eastAsia="zh-CN"/>
        </w:rPr>
        <w:t>交货地点：淮北矿业股份有限公司仓储配送中心。</w:t>
      </w:r>
    </w:p>
    <w:p>
      <w:pPr>
        <w:rPr>
          <w:rFonts w:asciiTheme="majorEastAsia" w:hAnsiTheme="majorEastAsia" w:eastAsiaTheme="majorEastAsia"/>
          <w:color w:val="auto"/>
          <w:sz w:val="32"/>
          <w:szCs w:val="32"/>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NkOTk3NzFkM2RjMzMzOTc1MzczMzY5Zjg3ODhmMTYifQ=="/>
  </w:docVars>
  <w:rsids>
    <w:rsidRoot w:val="00295505"/>
    <w:rsid w:val="00002240"/>
    <w:rsid w:val="00004CFE"/>
    <w:rsid w:val="000715D9"/>
    <w:rsid w:val="000833A8"/>
    <w:rsid w:val="000E538C"/>
    <w:rsid w:val="000E7BF2"/>
    <w:rsid w:val="0010013B"/>
    <w:rsid w:val="00182A22"/>
    <w:rsid w:val="001B0D18"/>
    <w:rsid w:val="00222DD2"/>
    <w:rsid w:val="0029249A"/>
    <w:rsid w:val="00295505"/>
    <w:rsid w:val="002D00EC"/>
    <w:rsid w:val="002D269B"/>
    <w:rsid w:val="00307DF1"/>
    <w:rsid w:val="003122AD"/>
    <w:rsid w:val="00345027"/>
    <w:rsid w:val="0036740B"/>
    <w:rsid w:val="003A322E"/>
    <w:rsid w:val="0045040C"/>
    <w:rsid w:val="004809D4"/>
    <w:rsid w:val="004B271A"/>
    <w:rsid w:val="004C4CA7"/>
    <w:rsid w:val="00506E99"/>
    <w:rsid w:val="005A2DA8"/>
    <w:rsid w:val="00636F6F"/>
    <w:rsid w:val="006529D9"/>
    <w:rsid w:val="006719FF"/>
    <w:rsid w:val="00680029"/>
    <w:rsid w:val="006B6CBC"/>
    <w:rsid w:val="006B7C1A"/>
    <w:rsid w:val="00731765"/>
    <w:rsid w:val="00732994"/>
    <w:rsid w:val="00740CBE"/>
    <w:rsid w:val="00741D71"/>
    <w:rsid w:val="00753587"/>
    <w:rsid w:val="00771ADC"/>
    <w:rsid w:val="007E6BF3"/>
    <w:rsid w:val="008A1247"/>
    <w:rsid w:val="008C5315"/>
    <w:rsid w:val="008D498F"/>
    <w:rsid w:val="008E2854"/>
    <w:rsid w:val="008F4A1D"/>
    <w:rsid w:val="00920A6C"/>
    <w:rsid w:val="009867B3"/>
    <w:rsid w:val="009C4B63"/>
    <w:rsid w:val="00A227B6"/>
    <w:rsid w:val="00A26A18"/>
    <w:rsid w:val="00A441AB"/>
    <w:rsid w:val="00A6404C"/>
    <w:rsid w:val="00A92E4A"/>
    <w:rsid w:val="00AC4875"/>
    <w:rsid w:val="00B342F6"/>
    <w:rsid w:val="00B455B5"/>
    <w:rsid w:val="00B62BE2"/>
    <w:rsid w:val="00B82BEA"/>
    <w:rsid w:val="00BA2C2A"/>
    <w:rsid w:val="00BA6A3E"/>
    <w:rsid w:val="00BB6172"/>
    <w:rsid w:val="00BD4741"/>
    <w:rsid w:val="00C14B91"/>
    <w:rsid w:val="00C54F20"/>
    <w:rsid w:val="00C95729"/>
    <w:rsid w:val="00D16319"/>
    <w:rsid w:val="00D347A1"/>
    <w:rsid w:val="00D61E13"/>
    <w:rsid w:val="00D77280"/>
    <w:rsid w:val="00DA6D41"/>
    <w:rsid w:val="00DB0646"/>
    <w:rsid w:val="00E07CF4"/>
    <w:rsid w:val="00E200F4"/>
    <w:rsid w:val="00E45378"/>
    <w:rsid w:val="00E60EA2"/>
    <w:rsid w:val="00E659E0"/>
    <w:rsid w:val="00E721CA"/>
    <w:rsid w:val="00E92417"/>
    <w:rsid w:val="00E95E0B"/>
    <w:rsid w:val="00EB6B76"/>
    <w:rsid w:val="00F05269"/>
    <w:rsid w:val="00F12A89"/>
    <w:rsid w:val="00F17973"/>
    <w:rsid w:val="00F22F9D"/>
    <w:rsid w:val="00F22FA7"/>
    <w:rsid w:val="00F23C3C"/>
    <w:rsid w:val="00F754F6"/>
    <w:rsid w:val="00F92DDD"/>
    <w:rsid w:val="00F959BD"/>
    <w:rsid w:val="00F970B0"/>
    <w:rsid w:val="00FB0FB5"/>
    <w:rsid w:val="00FC0A4C"/>
    <w:rsid w:val="00FC2043"/>
    <w:rsid w:val="00FF6747"/>
    <w:rsid w:val="01253372"/>
    <w:rsid w:val="014B08FF"/>
    <w:rsid w:val="01826A17"/>
    <w:rsid w:val="018F2EE2"/>
    <w:rsid w:val="01BB66BA"/>
    <w:rsid w:val="01FC3E31"/>
    <w:rsid w:val="02151639"/>
    <w:rsid w:val="028E3199"/>
    <w:rsid w:val="02C72207"/>
    <w:rsid w:val="031B2C7F"/>
    <w:rsid w:val="042C4A18"/>
    <w:rsid w:val="045F303F"/>
    <w:rsid w:val="04A66578"/>
    <w:rsid w:val="05171224"/>
    <w:rsid w:val="051E6A56"/>
    <w:rsid w:val="05240DE1"/>
    <w:rsid w:val="05357E04"/>
    <w:rsid w:val="0617574E"/>
    <w:rsid w:val="06403160"/>
    <w:rsid w:val="06C70A28"/>
    <w:rsid w:val="07300754"/>
    <w:rsid w:val="07554285"/>
    <w:rsid w:val="07782293"/>
    <w:rsid w:val="07B01284"/>
    <w:rsid w:val="0849203C"/>
    <w:rsid w:val="08B57A15"/>
    <w:rsid w:val="08E643C8"/>
    <w:rsid w:val="09D86447"/>
    <w:rsid w:val="09E91AC6"/>
    <w:rsid w:val="09EA33AB"/>
    <w:rsid w:val="09F91840"/>
    <w:rsid w:val="09F93DAC"/>
    <w:rsid w:val="0A310FDA"/>
    <w:rsid w:val="0A51342A"/>
    <w:rsid w:val="0B925AA8"/>
    <w:rsid w:val="0BC61FE3"/>
    <w:rsid w:val="0C2D306D"/>
    <w:rsid w:val="0C727688"/>
    <w:rsid w:val="0CF85DDF"/>
    <w:rsid w:val="0CFA3905"/>
    <w:rsid w:val="0DCF413B"/>
    <w:rsid w:val="0E077633"/>
    <w:rsid w:val="0E402C25"/>
    <w:rsid w:val="0F474DFC"/>
    <w:rsid w:val="0F7F00F1"/>
    <w:rsid w:val="10817E99"/>
    <w:rsid w:val="111B6540"/>
    <w:rsid w:val="11321AA9"/>
    <w:rsid w:val="113B273E"/>
    <w:rsid w:val="116379D3"/>
    <w:rsid w:val="11F44C56"/>
    <w:rsid w:val="138C102F"/>
    <w:rsid w:val="13AF1CBB"/>
    <w:rsid w:val="13C46A1B"/>
    <w:rsid w:val="13E050BF"/>
    <w:rsid w:val="14364B2C"/>
    <w:rsid w:val="143F60A1"/>
    <w:rsid w:val="150363A6"/>
    <w:rsid w:val="16656BFB"/>
    <w:rsid w:val="16E12CF7"/>
    <w:rsid w:val="16F83DC9"/>
    <w:rsid w:val="1703785A"/>
    <w:rsid w:val="179901BE"/>
    <w:rsid w:val="179B7A92"/>
    <w:rsid w:val="17D46E24"/>
    <w:rsid w:val="17F418FD"/>
    <w:rsid w:val="17FC3C01"/>
    <w:rsid w:val="18371EB1"/>
    <w:rsid w:val="18407B24"/>
    <w:rsid w:val="184620F4"/>
    <w:rsid w:val="184B770B"/>
    <w:rsid w:val="18502F73"/>
    <w:rsid w:val="196B16E7"/>
    <w:rsid w:val="1991739F"/>
    <w:rsid w:val="19AB13F9"/>
    <w:rsid w:val="1A143B2C"/>
    <w:rsid w:val="1A277D03"/>
    <w:rsid w:val="1B19569B"/>
    <w:rsid w:val="1B293607"/>
    <w:rsid w:val="1B397375"/>
    <w:rsid w:val="1B766BE0"/>
    <w:rsid w:val="1C026332"/>
    <w:rsid w:val="1C626DD1"/>
    <w:rsid w:val="1C872CDB"/>
    <w:rsid w:val="1CC57360"/>
    <w:rsid w:val="1CE95744"/>
    <w:rsid w:val="1D2624F4"/>
    <w:rsid w:val="1D6628F1"/>
    <w:rsid w:val="1DA376A1"/>
    <w:rsid w:val="1DC13FCB"/>
    <w:rsid w:val="1E9240DD"/>
    <w:rsid w:val="1E990EF4"/>
    <w:rsid w:val="1EBD29E4"/>
    <w:rsid w:val="1EE937D9"/>
    <w:rsid w:val="1F617814"/>
    <w:rsid w:val="1F742AAF"/>
    <w:rsid w:val="201725C8"/>
    <w:rsid w:val="20850F5E"/>
    <w:rsid w:val="21224D81"/>
    <w:rsid w:val="213D605E"/>
    <w:rsid w:val="21AB746C"/>
    <w:rsid w:val="22E542B8"/>
    <w:rsid w:val="23922691"/>
    <w:rsid w:val="24CD3A89"/>
    <w:rsid w:val="256736AA"/>
    <w:rsid w:val="2584425C"/>
    <w:rsid w:val="25F0544D"/>
    <w:rsid w:val="260E3B25"/>
    <w:rsid w:val="261C26E6"/>
    <w:rsid w:val="26AC4595"/>
    <w:rsid w:val="2755799F"/>
    <w:rsid w:val="275E288B"/>
    <w:rsid w:val="27B775BB"/>
    <w:rsid w:val="28F04CC7"/>
    <w:rsid w:val="292B73C6"/>
    <w:rsid w:val="29523FB3"/>
    <w:rsid w:val="29954C89"/>
    <w:rsid w:val="29A22F02"/>
    <w:rsid w:val="2A213E13"/>
    <w:rsid w:val="2A312201"/>
    <w:rsid w:val="2A9036A3"/>
    <w:rsid w:val="2B133692"/>
    <w:rsid w:val="2C275AB7"/>
    <w:rsid w:val="2C391C75"/>
    <w:rsid w:val="2C477D91"/>
    <w:rsid w:val="2C7C7A3B"/>
    <w:rsid w:val="2CAD22EA"/>
    <w:rsid w:val="2D6545C9"/>
    <w:rsid w:val="2DFF6B75"/>
    <w:rsid w:val="2E20362C"/>
    <w:rsid w:val="2E426A62"/>
    <w:rsid w:val="2E7B1F74"/>
    <w:rsid w:val="2EA96AE1"/>
    <w:rsid w:val="2ED26038"/>
    <w:rsid w:val="30AC3F1C"/>
    <w:rsid w:val="30BD0622"/>
    <w:rsid w:val="31091AB9"/>
    <w:rsid w:val="31244B45"/>
    <w:rsid w:val="31271F3F"/>
    <w:rsid w:val="31FB3AF8"/>
    <w:rsid w:val="31FE5396"/>
    <w:rsid w:val="32A56128"/>
    <w:rsid w:val="33095DA0"/>
    <w:rsid w:val="33883169"/>
    <w:rsid w:val="33DE722D"/>
    <w:rsid w:val="33E863EC"/>
    <w:rsid w:val="34050C5E"/>
    <w:rsid w:val="34D126EC"/>
    <w:rsid w:val="357065AB"/>
    <w:rsid w:val="358160C2"/>
    <w:rsid w:val="35C0308E"/>
    <w:rsid w:val="360D582E"/>
    <w:rsid w:val="36767BF1"/>
    <w:rsid w:val="37441A9D"/>
    <w:rsid w:val="379320DC"/>
    <w:rsid w:val="38044D88"/>
    <w:rsid w:val="38AD71CE"/>
    <w:rsid w:val="392C0A3B"/>
    <w:rsid w:val="3A717533"/>
    <w:rsid w:val="3ABD5DEE"/>
    <w:rsid w:val="3BB371F1"/>
    <w:rsid w:val="3BE64ED1"/>
    <w:rsid w:val="3C430575"/>
    <w:rsid w:val="3C6329C5"/>
    <w:rsid w:val="3C6E4EC6"/>
    <w:rsid w:val="3D94095C"/>
    <w:rsid w:val="3F3E5E41"/>
    <w:rsid w:val="3F76656C"/>
    <w:rsid w:val="3F8A5D66"/>
    <w:rsid w:val="3FA4132B"/>
    <w:rsid w:val="402C30CE"/>
    <w:rsid w:val="40322DDA"/>
    <w:rsid w:val="403C1A73"/>
    <w:rsid w:val="40884C18"/>
    <w:rsid w:val="414508EB"/>
    <w:rsid w:val="426C1EA8"/>
    <w:rsid w:val="42D43ED9"/>
    <w:rsid w:val="42E44134"/>
    <w:rsid w:val="43A044FF"/>
    <w:rsid w:val="440700DA"/>
    <w:rsid w:val="44114AB5"/>
    <w:rsid w:val="44150A49"/>
    <w:rsid w:val="44C22253"/>
    <w:rsid w:val="459260C9"/>
    <w:rsid w:val="45AF4585"/>
    <w:rsid w:val="46F10BCE"/>
    <w:rsid w:val="46FA3F26"/>
    <w:rsid w:val="473E6F4C"/>
    <w:rsid w:val="47897A52"/>
    <w:rsid w:val="483B298D"/>
    <w:rsid w:val="486C49B0"/>
    <w:rsid w:val="48743864"/>
    <w:rsid w:val="48AC6E49"/>
    <w:rsid w:val="491C63D6"/>
    <w:rsid w:val="49254E40"/>
    <w:rsid w:val="49676200"/>
    <w:rsid w:val="498E0956"/>
    <w:rsid w:val="49940662"/>
    <w:rsid w:val="49964BD2"/>
    <w:rsid w:val="49DD416C"/>
    <w:rsid w:val="49FF1E51"/>
    <w:rsid w:val="4A2319E6"/>
    <w:rsid w:val="4B15615A"/>
    <w:rsid w:val="4B5005B9"/>
    <w:rsid w:val="4BDC4A3D"/>
    <w:rsid w:val="4BE34F89"/>
    <w:rsid w:val="4DA42E3E"/>
    <w:rsid w:val="4E121FED"/>
    <w:rsid w:val="4E555EE6"/>
    <w:rsid w:val="4FAB6D53"/>
    <w:rsid w:val="50D00E58"/>
    <w:rsid w:val="510F4A72"/>
    <w:rsid w:val="5153495F"/>
    <w:rsid w:val="51EE4687"/>
    <w:rsid w:val="52036385"/>
    <w:rsid w:val="524532EE"/>
    <w:rsid w:val="537E2514"/>
    <w:rsid w:val="53DA4EC3"/>
    <w:rsid w:val="547C41CC"/>
    <w:rsid w:val="54970654"/>
    <w:rsid w:val="54EF0E42"/>
    <w:rsid w:val="554E4E34"/>
    <w:rsid w:val="557E7869"/>
    <w:rsid w:val="559B4B26"/>
    <w:rsid w:val="563F1955"/>
    <w:rsid w:val="56705FB3"/>
    <w:rsid w:val="567977C8"/>
    <w:rsid w:val="56C854A7"/>
    <w:rsid w:val="57392849"/>
    <w:rsid w:val="57435406"/>
    <w:rsid w:val="576A0974"/>
    <w:rsid w:val="57EF1042"/>
    <w:rsid w:val="5805272B"/>
    <w:rsid w:val="59B461B6"/>
    <w:rsid w:val="5A24333C"/>
    <w:rsid w:val="5AE96334"/>
    <w:rsid w:val="5C177036"/>
    <w:rsid w:val="5CC93D27"/>
    <w:rsid w:val="5DA03C89"/>
    <w:rsid w:val="5DAF1AB3"/>
    <w:rsid w:val="5DAF2D70"/>
    <w:rsid w:val="5E652175"/>
    <w:rsid w:val="5E8117C9"/>
    <w:rsid w:val="5EAD3CC4"/>
    <w:rsid w:val="5EEF60E1"/>
    <w:rsid w:val="5F824661"/>
    <w:rsid w:val="5F8872FE"/>
    <w:rsid w:val="5FB971A7"/>
    <w:rsid w:val="5FD21144"/>
    <w:rsid w:val="5FEA0B84"/>
    <w:rsid w:val="60255718"/>
    <w:rsid w:val="6071095D"/>
    <w:rsid w:val="6121444D"/>
    <w:rsid w:val="61880654"/>
    <w:rsid w:val="62897459"/>
    <w:rsid w:val="629D5DF7"/>
    <w:rsid w:val="634E142A"/>
    <w:rsid w:val="63C17E4E"/>
    <w:rsid w:val="641D1224"/>
    <w:rsid w:val="642301C1"/>
    <w:rsid w:val="64485D56"/>
    <w:rsid w:val="648E3D43"/>
    <w:rsid w:val="64F3053C"/>
    <w:rsid w:val="65AA392C"/>
    <w:rsid w:val="65BA4B55"/>
    <w:rsid w:val="65E658BA"/>
    <w:rsid w:val="66297D75"/>
    <w:rsid w:val="66AF0431"/>
    <w:rsid w:val="66D25B39"/>
    <w:rsid w:val="67167D84"/>
    <w:rsid w:val="672653B2"/>
    <w:rsid w:val="672A78C3"/>
    <w:rsid w:val="676E209B"/>
    <w:rsid w:val="67F307F2"/>
    <w:rsid w:val="68BE3DFB"/>
    <w:rsid w:val="6A1F71F2"/>
    <w:rsid w:val="6A415844"/>
    <w:rsid w:val="6A4209A1"/>
    <w:rsid w:val="6A7D1633"/>
    <w:rsid w:val="6B2C2051"/>
    <w:rsid w:val="6B3B6C4F"/>
    <w:rsid w:val="6B96396E"/>
    <w:rsid w:val="6BEC5C84"/>
    <w:rsid w:val="6CBC5656"/>
    <w:rsid w:val="6CC01B76"/>
    <w:rsid w:val="6D06067F"/>
    <w:rsid w:val="6D9013CC"/>
    <w:rsid w:val="6DB93944"/>
    <w:rsid w:val="6DDD7632"/>
    <w:rsid w:val="6E2E7E8E"/>
    <w:rsid w:val="6E922B12"/>
    <w:rsid w:val="6EB83BFB"/>
    <w:rsid w:val="6F6B5112"/>
    <w:rsid w:val="70366D4F"/>
    <w:rsid w:val="7064228D"/>
    <w:rsid w:val="71CF3736"/>
    <w:rsid w:val="71D76A8E"/>
    <w:rsid w:val="72345C8F"/>
    <w:rsid w:val="72D336FA"/>
    <w:rsid w:val="730007AD"/>
    <w:rsid w:val="731E2BC7"/>
    <w:rsid w:val="742C30C1"/>
    <w:rsid w:val="750B71C1"/>
    <w:rsid w:val="753C7334"/>
    <w:rsid w:val="753E2F2F"/>
    <w:rsid w:val="76D90BB3"/>
    <w:rsid w:val="77161C9D"/>
    <w:rsid w:val="776963DA"/>
    <w:rsid w:val="77770370"/>
    <w:rsid w:val="77F04406"/>
    <w:rsid w:val="78340796"/>
    <w:rsid w:val="78540210"/>
    <w:rsid w:val="78782D79"/>
    <w:rsid w:val="78B47B29"/>
    <w:rsid w:val="790A599B"/>
    <w:rsid w:val="79401932"/>
    <w:rsid w:val="7A1E16FE"/>
    <w:rsid w:val="7B0568FD"/>
    <w:rsid w:val="7C705B15"/>
    <w:rsid w:val="7E7F4735"/>
    <w:rsid w:val="7E8B30DA"/>
    <w:rsid w:val="7F2D5F40"/>
    <w:rsid w:val="7F4219EB"/>
    <w:rsid w:val="7F4339B5"/>
    <w:rsid w:val="7F460DAF"/>
    <w:rsid w:val="7F4820FC"/>
    <w:rsid w:val="7FB328E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qFormat/>
    <w:uiPriority w:val="9"/>
    <w:pPr>
      <w:kinsoku w:val="0"/>
      <w:overflowPunct w:val="0"/>
      <w:outlineLvl w:val="1"/>
    </w:pPr>
    <w:rPr>
      <w:rFonts w:ascii="黑体" w:hAnsi="Times New Roman" w:eastAsia="黑体" w:cs="Times New Roman"/>
      <w:b/>
      <w:bCs/>
      <w:szCs w:val="32"/>
    </w:rPr>
  </w:style>
  <w:style w:type="paragraph" w:styleId="3">
    <w:name w:val="heading 3"/>
    <w:basedOn w:val="1"/>
    <w:next w:val="1"/>
    <w:semiHidden/>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5"/>
    <w:unhideWhenUsed/>
    <w:qFormat/>
    <w:uiPriority w:val="99"/>
    <w:pPr>
      <w:tabs>
        <w:tab w:val="center" w:pos="4153"/>
        <w:tab w:val="right" w:pos="8306"/>
      </w:tabs>
      <w:snapToGrid w:val="0"/>
      <w:jc w:val="left"/>
    </w:pPr>
    <w:rPr>
      <w:sz w:val="18"/>
      <w:szCs w:val="18"/>
    </w:rPr>
  </w:style>
  <w:style w:type="paragraph" w:styleId="5">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oc 1"/>
    <w:basedOn w:val="1"/>
    <w:next w:val="1"/>
    <w:semiHidden/>
    <w:unhideWhenUsed/>
    <w:qFormat/>
    <w:uiPriority w:val="39"/>
  </w:style>
  <w:style w:type="paragraph" w:styleId="7">
    <w:name w:val="Normal (Web)"/>
    <w:basedOn w:val="1"/>
    <w:semiHidden/>
    <w:unhideWhenUsed/>
    <w:qFormat/>
    <w:uiPriority w:val="99"/>
    <w:rPr>
      <w:sz w:val="24"/>
    </w:rPr>
  </w:style>
  <w:style w:type="table" w:styleId="9">
    <w:name w:val="Table Grid"/>
    <w:basedOn w:val="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22"/>
    <w:rPr>
      <w:b/>
    </w:rPr>
  </w:style>
  <w:style w:type="character" w:styleId="12">
    <w:name w:val="FollowedHyperlink"/>
    <w:basedOn w:val="10"/>
    <w:semiHidden/>
    <w:unhideWhenUsed/>
    <w:qFormat/>
    <w:uiPriority w:val="99"/>
    <w:rPr>
      <w:color w:val="800080"/>
      <w:u w:val="single"/>
    </w:rPr>
  </w:style>
  <w:style w:type="character" w:styleId="13">
    <w:name w:val="Hyperlink"/>
    <w:basedOn w:val="10"/>
    <w:semiHidden/>
    <w:unhideWhenUsed/>
    <w:qFormat/>
    <w:uiPriority w:val="99"/>
    <w:rPr>
      <w:color w:val="0000FF"/>
      <w:u w:val="single"/>
    </w:rPr>
  </w:style>
  <w:style w:type="character" w:customStyle="1" w:styleId="14">
    <w:name w:val="页眉 Char"/>
    <w:basedOn w:val="10"/>
    <w:link w:val="5"/>
    <w:qFormat/>
    <w:uiPriority w:val="99"/>
    <w:rPr>
      <w:sz w:val="18"/>
      <w:szCs w:val="18"/>
    </w:rPr>
  </w:style>
  <w:style w:type="character" w:customStyle="1" w:styleId="15">
    <w:name w:val="页脚 Char"/>
    <w:basedOn w:val="10"/>
    <w:link w:val="4"/>
    <w:qFormat/>
    <w:uiPriority w:val="99"/>
    <w:rPr>
      <w:sz w:val="18"/>
      <w:szCs w:val="18"/>
    </w:rPr>
  </w:style>
  <w:style w:type="paragraph" w:styleId="16">
    <w:name w:val="List Paragraph"/>
    <w:basedOn w:val="1"/>
    <w:qFormat/>
    <w:uiPriority w:val="34"/>
    <w:pPr>
      <w:ind w:firstLine="420" w:firstLineChars="200"/>
    </w:pPr>
  </w:style>
  <w:style w:type="character" w:customStyle="1" w:styleId="17">
    <w:name w:val="5"/>
    <w:basedOn w:val="10"/>
    <w:qFormat/>
    <w:uiPriority w:val="0"/>
  </w:style>
  <w:style w:type="paragraph" w:customStyle="1" w:styleId="18">
    <w:name w:val="Default"/>
    <w:qFormat/>
    <w:uiPriority w:val="99"/>
    <w:pPr>
      <w:widowControl w:val="0"/>
      <w:autoSpaceDE w:val="0"/>
      <w:autoSpaceDN w:val="0"/>
      <w:adjustRightInd w:val="0"/>
    </w:pPr>
    <w:rPr>
      <w:rFonts w:ascii="黑体" w:hAnsi="Times New Roman" w:eastAsia="黑体" w:cs="黑体"/>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5</Pages>
  <Words>1500</Words>
  <Characters>1718</Characters>
  <Lines>7</Lines>
  <Paragraphs>2</Paragraphs>
  <TotalTime>1</TotalTime>
  <ScaleCrop>false</ScaleCrop>
  <LinksUpToDate>false</LinksUpToDate>
  <CharactersWithSpaces>1728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2021-08-18T02:09:00Z</dcterms:created>
  <dc:creator>微软用户</dc:creator>
  <cp:lastModifiedBy>chim</cp:lastModifiedBy>
  <cp:lastPrinted>2026-02-04T09:49:46Z</cp:lastPrinted>
  <dcterms:modified xsi:type="dcterms:W3CDTF">2026-02-04T09:49:50Z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43DF13D628844FFFB99D5CA7D85D98DC_13</vt:lpwstr>
  </property>
  <property fmtid="{D5CDD505-2E9C-101B-9397-08002B2CF9AE}" pid="4" name="KSOTemplateDocerSaveRecord">
    <vt:lpwstr>eyJoZGlkIjoiNDFkYTIzY2QwMDgyNjI5ZjY2ZDBmZDE0MzMxOTFmYTUiLCJ1c2VySWQiOiI1NTA5MTYzMjkifQ==</vt:lpwstr>
  </property>
</Properties>
</file>